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72D" w14:textId="77777777" w:rsidR="0076743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2.33.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4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</w:t>
      </w:r>
    </w:p>
    <w:p w14:paraId="43E5C49E" w14:textId="77777777" w:rsidR="0076743A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постоянно действующая комиссия, созданная районным (городским) исполнительным комитетом (местной администрацией района в городе)</w:t>
      </w:r>
    </w:p>
    <w:p w14:paraId="60B4AEDF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0EA59A2D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1858D0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B13DA55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3ABE69E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4BB0FFE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07615FE3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3DA84E6C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CD55F98" w14:textId="77777777" w:rsidR="0076743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0C14CAC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32A71F1A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</w:t>
      </w:r>
    </w:p>
    <w:p w14:paraId="50610043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</w:r>
    </w:p>
    <w:p w14:paraId="3453DFAF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</w:r>
    </w:p>
    <w:p w14:paraId="10B91225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– при его наличии)</w:t>
      </w:r>
    </w:p>
    <w:p w14:paraId="26F9D98E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5A1BD455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14:paraId="78ADA01C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копия решения местного исполнительного и распорядительного органа об установлении опеки – для лиц, назначенных опекунами ребенка</w:t>
      </w:r>
    </w:p>
    <w:p w14:paraId="37E44D34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</w:r>
    </w:p>
    <w:p w14:paraId="4C72A79F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</w:r>
    </w:p>
    <w:p w14:paraId="65954F88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</w:r>
    </w:p>
    <w:p w14:paraId="2C190D44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ренты и (или) пожизненного содержания с иждивением – для граждан, заключивших указанный договор</w:t>
      </w:r>
    </w:p>
    <w:p w14:paraId="581EC304" w14:textId="77777777" w:rsidR="0076743A" w:rsidRDefault="00000000">
      <w:pPr>
        <w:numPr>
          <w:ilvl w:val="0"/>
          <w:numId w:val="2"/>
        </w:numPr>
        <w:spacing w:before="120" w:after="20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связи с рождением ребенка), которые выплачиваются и приобщаются к материалам дела органами по труду, занятости и социальной защите, – за исключением семей при рождении и воспитании двойни или более детей</w:t>
      </w:r>
    </w:p>
    <w:p w14:paraId="2F2C5E13" w14:textId="77777777" w:rsidR="0076743A" w:rsidRDefault="00000000">
      <w:pPr>
        <w:jc w:val="left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421CEC6" w14:textId="77777777" w:rsidR="0076743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00673E6" w14:textId="77777777" w:rsidR="0076743A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18BFC4B" w14:textId="7DE0E00A" w:rsidR="006014C2" w:rsidRPr="006014C2" w:rsidRDefault="006014C2" w:rsidP="006014C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014C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25ABD2A" w14:textId="36FFD5B8" w:rsidR="006014C2" w:rsidRPr="006014C2" w:rsidRDefault="006014C2" w:rsidP="006014C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014C2">
        <w:rPr>
          <w:rFonts w:ascii="Arial" w:eastAsia="Times New Roman" w:hAnsi="Arial" w:cs="Arial"/>
          <w:bCs/>
          <w:sz w:val="28"/>
          <w:szCs w:val="28"/>
          <w:lang w:eastAsia="x-none"/>
        </w:rPr>
        <w:t>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E17A7A8" w14:textId="0FB6D7E0" w:rsidR="006014C2" w:rsidRPr="006014C2" w:rsidRDefault="006014C2" w:rsidP="006014C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014C2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принадлежащих конкретному физическому лицу правах на объекты недвижимого имущества (в отношении гражданина и членов его семьи) – из ЕГРНИ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C87C91A" w14:textId="748472A8" w:rsidR="006014C2" w:rsidRPr="006014C2" w:rsidRDefault="006014C2" w:rsidP="006014C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014C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отсутствии факта обеспечения продуктами питания ребенка по месту регистрации родителя (при регистрации родителей по разным адресам)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03AB899" w14:textId="182F7F69" w:rsidR="006014C2" w:rsidRPr="006014C2" w:rsidRDefault="006014C2" w:rsidP="006014C2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014C2">
        <w:rPr>
          <w:rFonts w:ascii="Arial" w:eastAsia="Times New Roman" w:hAnsi="Arial" w:cs="Arial"/>
          <w:bCs/>
          <w:sz w:val="28"/>
          <w:szCs w:val="28"/>
          <w:lang w:eastAsia="x-none"/>
        </w:rPr>
        <w:t>другие документы и (или) сведения, необходимые для обеспечения продуктами питания детей первых двух лет жизни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EE5BCA7" w14:textId="77777777" w:rsidR="0076743A" w:rsidRDefault="00000000" w:rsidP="00DD10E6">
      <w:pPr>
        <w:spacing w:before="240" w:after="24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E832F35" w14:textId="77777777" w:rsidR="0076743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заявления, а в случае запроса документов и (или) сведений от других государственных органов, иных организаций – 5 рабочих дней после получения последнего документа, необходимого для предоставления государственной адресной социальной помощи</w:t>
      </w:r>
    </w:p>
    <w:p w14:paraId="59B6C43E" w14:textId="77777777" w:rsidR="009E4C7F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на каждые 6 месяцев до достижения ребенком возраста двух лет</w:t>
      </w:r>
    </w:p>
    <w:sectPr w:rsidR="009E4C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1CA"/>
    <w:multiLevelType w:val="hybridMultilevel"/>
    <w:tmpl w:val="F894F1F6"/>
    <w:lvl w:ilvl="0" w:tplc="2AC649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26512">
    <w:abstractNumId w:val="1"/>
  </w:num>
  <w:num w:numId="2" w16cid:durableId="1764448795">
    <w:abstractNumId w:val="1"/>
  </w:num>
  <w:num w:numId="3" w16cid:durableId="36702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EE"/>
    <w:rsid w:val="00154CEE"/>
    <w:rsid w:val="006014C2"/>
    <w:rsid w:val="00673D8B"/>
    <w:rsid w:val="0076743A"/>
    <w:rsid w:val="009E4C7F"/>
    <w:rsid w:val="00C67492"/>
    <w:rsid w:val="00D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23C1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DD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981</Words>
  <Characters>5597</Characters>
  <Application>Microsoft Office Word</Application>
  <DocSecurity>0</DocSecurity>
  <Lines>46</Lines>
  <Paragraphs>13</Paragraphs>
  <ScaleCrop>false</ScaleCrop>
  <Company>All Belarus 2009 DVD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2026-05-12T12:42:00Z</cp:lastPrinted>
  <dcterms:created xsi:type="dcterms:W3CDTF">2024-09-10T08:50:00Z</dcterms:created>
  <dcterms:modified xsi:type="dcterms:W3CDTF">2026-05-12T12:43:00Z</dcterms:modified>
</cp:coreProperties>
</file>