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5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6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7.xml" ContentType="application/vnd.openxmlformats-officedocument.themeOverride+xml"/>
  <Override PartName="/word/drawings/drawing16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CD0996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CD0996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CD0996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CD0996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CD0996">
        <w:rPr>
          <w:rFonts w:eastAsia="Times New Roman"/>
          <w:spacing w:val="-6"/>
          <w:sz w:val="30"/>
          <w:szCs w:val="20"/>
          <w:lang w:eastAsia="ru-RU"/>
        </w:rPr>
        <w:br/>
      </w:r>
      <w:r w:rsidRPr="00CD0996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5E1996" w:rsidRPr="00CD0996">
        <w:rPr>
          <w:rFonts w:eastAsia="Times New Roman"/>
          <w:spacing w:val="-6"/>
          <w:sz w:val="30"/>
          <w:szCs w:val="30"/>
          <w:lang w:eastAsia="ru-RU"/>
        </w:rPr>
        <w:t>за 2025 г</w:t>
      </w:r>
      <w:r w:rsidR="00A772D6" w:rsidRPr="00CD0996">
        <w:rPr>
          <w:rFonts w:eastAsia="Times New Roman"/>
          <w:spacing w:val="-6"/>
          <w:sz w:val="30"/>
          <w:szCs w:val="30"/>
          <w:lang w:eastAsia="ru-RU"/>
        </w:rPr>
        <w:t>од</w:t>
      </w:r>
    </w:p>
    <w:p w:rsidR="00C549F5" w:rsidRPr="00CD0996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CD0996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CD0996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Мин</w:t>
      </w:r>
      <w:r w:rsidR="0041262A" w:rsidRPr="00CD0996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CD0996">
        <w:rPr>
          <w:rFonts w:eastAsia="Times New Roman"/>
          <w:sz w:val="30"/>
          <w:szCs w:val="30"/>
          <w:lang w:eastAsia="ru-RU"/>
        </w:rPr>
        <w:br/>
      </w:r>
      <w:r w:rsidRPr="00CD0996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BD4788" w:rsidRPr="00CD0996">
        <w:rPr>
          <w:rFonts w:eastAsia="Times New Roman"/>
          <w:sz w:val="30"/>
          <w:szCs w:val="30"/>
          <w:lang w:eastAsia="ru-RU"/>
        </w:rPr>
        <w:t xml:space="preserve">декабре </w:t>
      </w:r>
      <w:r w:rsidRPr="00CD0996">
        <w:rPr>
          <w:rFonts w:eastAsia="Times New Roman"/>
          <w:sz w:val="30"/>
          <w:szCs w:val="30"/>
          <w:lang w:eastAsia="ru-RU"/>
        </w:rPr>
        <w:t>202</w:t>
      </w:r>
      <w:r w:rsidR="00C344C9" w:rsidRPr="00CD0996">
        <w:rPr>
          <w:rFonts w:eastAsia="Times New Roman"/>
          <w:sz w:val="30"/>
          <w:szCs w:val="30"/>
          <w:lang w:eastAsia="ru-RU"/>
        </w:rPr>
        <w:t>5</w:t>
      </w:r>
      <w:r w:rsidRPr="00CD0996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CD0996">
        <w:rPr>
          <w:rFonts w:eastAsia="Times New Roman"/>
          <w:sz w:val="30"/>
          <w:szCs w:val="30"/>
          <w:lang w:eastAsia="ru-RU"/>
        </w:rPr>
        <w:br/>
      </w:r>
      <w:r w:rsidRPr="00CD0996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CD0996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CD0996">
        <w:rPr>
          <w:rFonts w:eastAsia="Times New Roman"/>
          <w:sz w:val="30"/>
          <w:szCs w:val="30"/>
          <w:lang w:eastAsia="ru-RU"/>
        </w:rPr>
        <w:t>,</w:t>
      </w:r>
      <w:r w:rsidR="003E54A3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травмирован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о </w:t>
      </w:r>
      <w:r w:rsidR="00BD4788" w:rsidRPr="00CD0996">
        <w:rPr>
          <w:rFonts w:eastAsia="Times New Roman"/>
          <w:sz w:val="30"/>
          <w:szCs w:val="30"/>
          <w:lang w:eastAsia="ru-RU"/>
        </w:rPr>
        <w:t>359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 человек (</w:t>
      </w:r>
      <w:r w:rsidR="0020707E" w:rsidRPr="00CD0996">
        <w:rPr>
          <w:rFonts w:eastAsia="Times New Roman"/>
          <w:sz w:val="30"/>
          <w:szCs w:val="30"/>
          <w:lang w:eastAsia="ru-RU"/>
        </w:rPr>
        <w:t>за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CD0996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CD0996">
        <w:rPr>
          <w:rFonts w:eastAsia="Times New Roman"/>
          <w:sz w:val="30"/>
          <w:szCs w:val="30"/>
          <w:lang w:eastAsia="ru-RU"/>
        </w:rPr>
        <w:t>024 год</w:t>
      </w:r>
      <w:r w:rsidR="0020707E" w:rsidRPr="00CD0996">
        <w:rPr>
          <w:rFonts w:eastAsia="Times New Roman"/>
          <w:sz w:val="30"/>
          <w:szCs w:val="30"/>
          <w:lang w:eastAsia="ru-RU"/>
        </w:rPr>
        <w:t>а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CD0996">
        <w:rPr>
          <w:rFonts w:eastAsia="Times New Roman"/>
          <w:sz w:val="30"/>
          <w:szCs w:val="30"/>
          <w:lang w:eastAsia="ru-RU"/>
        </w:rPr>
        <w:t>–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D4788" w:rsidRPr="00CD0996">
        <w:rPr>
          <w:rFonts w:eastAsia="Times New Roman"/>
          <w:sz w:val="30"/>
          <w:szCs w:val="30"/>
          <w:lang w:eastAsia="ru-RU"/>
        </w:rPr>
        <w:t>362</w:t>
      </w:r>
      <w:r w:rsidRPr="00CD0996">
        <w:rPr>
          <w:rFonts w:eastAsia="Times New Roman"/>
          <w:sz w:val="30"/>
          <w:szCs w:val="30"/>
          <w:lang w:eastAsia="ru-RU"/>
        </w:rPr>
        <w:t xml:space="preserve"> человек</w:t>
      </w:r>
      <w:r w:rsidR="00BD4788" w:rsidRPr="00CD0996">
        <w:rPr>
          <w:rFonts w:eastAsia="Times New Roman"/>
          <w:sz w:val="30"/>
          <w:szCs w:val="30"/>
          <w:lang w:eastAsia="ru-RU"/>
        </w:rPr>
        <w:t>а</w:t>
      </w:r>
      <w:r w:rsidR="003B3EBC" w:rsidRPr="00CD0996">
        <w:rPr>
          <w:rFonts w:eastAsia="Times New Roman"/>
          <w:sz w:val="30"/>
          <w:szCs w:val="30"/>
          <w:lang w:eastAsia="ru-RU"/>
        </w:rPr>
        <w:t>)</w:t>
      </w:r>
      <w:r w:rsidR="008A6649" w:rsidRPr="00CD0996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CD0996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CD0996">
        <w:rPr>
          <w:rFonts w:eastAsia="Times New Roman"/>
          <w:sz w:val="30"/>
          <w:szCs w:val="30"/>
          <w:lang w:eastAsia="ru-RU"/>
        </w:rPr>
        <w:t>увеличилось</w:t>
      </w:r>
      <w:r w:rsidR="00C344C9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CD0996">
        <w:rPr>
          <w:rFonts w:eastAsia="Times New Roman"/>
          <w:sz w:val="30"/>
          <w:szCs w:val="30"/>
          <w:lang w:eastAsia="ru-RU"/>
        </w:rPr>
        <w:t xml:space="preserve">с </w:t>
      </w:r>
      <w:r w:rsidR="00BD4788" w:rsidRPr="00CD0996">
        <w:rPr>
          <w:rFonts w:eastAsia="Times New Roman"/>
          <w:sz w:val="30"/>
          <w:szCs w:val="30"/>
          <w:lang w:eastAsia="ru-RU"/>
        </w:rPr>
        <w:t>23</w:t>
      </w:r>
      <w:r w:rsidR="00B82615"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BD4788" w:rsidRPr="00CD0996">
        <w:rPr>
          <w:rFonts w:eastAsia="Times New Roman"/>
          <w:sz w:val="30"/>
          <w:szCs w:val="30"/>
          <w:lang w:eastAsia="ru-RU"/>
        </w:rPr>
        <w:t>30</w:t>
      </w:r>
      <w:r w:rsidR="00B82615" w:rsidRPr="00CD0996">
        <w:rPr>
          <w:rFonts w:eastAsia="Times New Roman"/>
          <w:sz w:val="30"/>
          <w:szCs w:val="30"/>
          <w:lang w:eastAsia="ru-RU"/>
        </w:rPr>
        <w:t xml:space="preserve"> человек, </w:t>
      </w:r>
      <w:r w:rsidR="00B6236F" w:rsidRPr="00CD0996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CD0996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CD0996">
        <w:rPr>
          <w:rFonts w:eastAsia="Times New Roman"/>
          <w:sz w:val="30"/>
          <w:szCs w:val="30"/>
          <w:lang w:eastAsia="ru-RU"/>
        </w:rPr>
        <w:t>,</w:t>
      </w:r>
      <w:r w:rsidR="00B6236F" w:rsidRPr="00CD0996">
        <w:rPr>
          <w:rFonts w:eastAsia="Times New Roman"/>
          <w:sz w:val="30"/>
          <w:szCs w:val="30"/>
          <w:lang w:eastAsia="ru-RU"/>
        </w:rPr>
        <w:t xml:space="preserve"> с </w:t>
      </w:r>
      <w:r w:rsidR="00BD4788" w:rsidRPr="00CD0996">
        <w:rPr>
          <w:rFonts w:eastAsia="Times New Roman"/>
          <w:sz w:val="30"/>
          <w:szCs w:val="30"/>
          <w:lang w:eastAsia="ru-RU"/>
        </w:rPr>
        <w:t>117</w:t>
      </w:r>
      <w:r w:rsidR="00B6236F"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79769B" w:rsidRPr="00CD0996">
        <w:rPr>
          <w:rFonts w:eastAsia="Times New Roman"/>
          <w:sz w:val="30"/>
          <w:szCs w:val="30"/>
          <w:lang w:eastAsia="ru-RU"/>
        </w:rPr>
        <w:t>1</w:t>
      </w:r>
      <w:r w:rsidR="00BD4788" w:rsidRPr="00CD0996">
        <w:rPr>
          <w:rFonts w:eastAsia="Times New Roman"/>
          <w:sz w:val="30"/>
          <w:szCs w:val="30"/>
          <w:lang w:eastAsia="ru-RU"/>
        </w:rPr>
        <w:t>38</w:t>
      </w:r>
      <w:r w:rsidR="00B6236F" w:rsidRPr="00CD0996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C344C9" w:rsidRPr="00CD0996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CD0996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inline distT="0" distB="0" distL="0" distR="0" wp14:anchorId="4FDE87E1" wp14:editId="270F9F0D">
            <wp:extent cx="6086324" cy="4093029"/>
            <wp:effectExtent l="0" t="0" r="0" b="317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7DB8" w:rsidRPr="00CD0996" w:rsidRDefault="000E7DB8" w:rsidP="000E7DB8">
      <w:pPr>
        <w:ind w:firstLine="709"/>
        <w:rPr>
          <w:sz w:val="30"/>
          <w:szCs w:val="30"/>
        </w:rPr>
      </w:pPr>
      <w:r w:rsidRPr="00CD0996">
        <w:rPr>
          <w:sz w:val="30"/>
          <w:szCs w:val="30"/>
        </w:rPr>
        <w:t>В результате до</w:t>
      </w:r>
      <w:r w:rsidR="003171F6" w:rsidRPr="00CD0996">
        <w:rPr>
          <w:sz w:val="30"/>
          <w:szCs w:val="30"/>
        </w:rPr>
        <w:t>рожно-транспортн</w:t>
      </w:r>
      <w:r w:rsidR="000C1ACB" w:rsidRPr="00CD0996">
        <w:rPr>
          <w:sz w:val="30"/>
          <w:szCs w:val="30"/>
        </w:rPr>
        <w:t>ых</w:t>
      </w:r>
      <w:r w:rsidR="003171F6" w:rsidRPr="00CD0996">
        <w:rPr>
          <w:sz w:val="30"/>
          <w:szCs w:val="30"/>
        </w:rPr>
        <w:t xml:space="preserve"> происшествий</w:t>
      </w:r>
      <w:r w:rsidRPr="00CD0996">
        <w:rPr>
          <w:sz w:val="30"/>
          <w:szCs w:val="30"/>
        </w:rPr>
        <w:t xml:space="preserve"> (далее – ДТП) травмировано </w:t>
      </w:r>
      <w:r w:rsidR="001371C8" w:rsidRPr="00CD0996">
        <w:rPr>
          <w:sz w:val="30"/>
          <w:szCs w:val="30"/>
        </w:rPr>
        <w:t>36</w:t>
      </w:r>
      <w:r w:rsidRPr="00CD0996">
        <w:rPr>
          <w:sz w:val="30"/>
          <w:szCs w:val="30"/>
        </w:rPr>
        <w:t xml:space="preserve"> человек (в 202</w:t>
      </w:r>
      <w:r w:rsidR="003171F6" w:rsidRPr="00CD0996">
        <w:rPr>
          <w:sz w:val="30"/>
          <w:szCs w:val="30"/>
        </w:rPr>
        <w:t>4</w:t>
      </w:r>
      <w:r w:rsidRPr="00CD0996">
        <w:rPr>
          <w:sz w:val="30"/>
          <w:szCs w:val="30"/>
        </w:rPr>
        <w:t xml:space="preserve"> году – </w:t>
      </w:r>
      <w:r w:rsidR="001371C8" w:rsidRPr="00CD0996">
        <w:rPr>
          <w:sz w:val="30"/>
          <w:szCs w:val="30"/>
        </w:rPr>
        <w:t>39</w:t>
      </w:r>
      <w:r w:rsidRPr="00CD0996">
        <w:rPr>
          <w:sz w:val="30"/>
          <w:szCs w:val="30"/>
        </w:rPr>
        <w:t xml:space="preserve">), в том числе </w:t>
      </w:r>
      <w:r w:rsidR="001371C8" w:rsidRPr="00CD0996">
        <w:rPr>
          <w:sz w:val="30"/>
          <w:szCs w:val="30"/>
        </w:rPr>
        <w:t>5</w:t>
      </w:r>
      <w:r w:rsidRPr="00CD0996">
        <w:rPr>
          <w:sz w:val="30"/>
          <w:szCs w:val="30"/>
        </w:rPr>
        <w:t xml:space="preserve"> человек погибл</w:t>
      </w:r>
      <w:r w:rsidR="00792BFD" w:rsidRPr="00CD0996">
        <w:rPr>
          <w:sz w:val="30"/>
          <w:szCs w:val="30"/>
        </w:rPr>
        <w:t>и</w:t>
      </w:r>
      <w:r w:rsidRPr="00CD0996">
        <w:rPr>
          <w:sz w:val="30"/>
          <w:szCs w:val="30"/>
        </w:rPr>
        <w:t xml:space="preserve"> и </w:t>
      </w:r>
      <w:r w:rsidR="0035736B" w:rsidRPr="00CD0996">
        <w:rPr>
          <w:sz w:val="30"/>
          <w:szCs w:val="30"/>
        </w:rPr>
        <w:t>1</w:t>
      </w:r>
      <w:r w:rsidR="00D521A4" w:rsidRPr="00CD0996">
        <w:rPr>
          <w:sz w:val="30"/>
          <w:szCs w:val="30"/>
        </w:rPr>
        <w:t>7</w:t>
      </w:r>
      <w:r w:rsidRPr="00CD0996">
        <w:rPr>
          <w:sz w:val="30"/>
          <w:szCs w:val="30"/>
        </w:rPr>
        <w:t xml:space="preserve"> человек</w:t>
      </w:r>
      <w:r w:rsidR="0035736B" w:rsidRPr="00CD0996">
        <w:rPr>
          <w:sz w:val="30"/>
          <w:szCs w:val="30"/>
        </w:rPr>
        <w:t xml:space="preserve"> </w:t>
      </w:r>
      <w:r w:rsidR="00E0515A" w:rsidRPr="00CD0996">
        <w:rPr>
          <w:sz w:val="30"/>
          <w:szCs w:val="30"/>
        </w:rPr>
        <w:t xml:space="preserve"> </w:t>
      </w:r>
      <w:r w:rsidRPr="00CD0996">
        <w:rPr>
          <w:sz w:val="30"/>
          <w:szCs w:val="30"/>
        </w:rPr>
        <w:t>получили тяжелые производственные травмы</w:t>
      </w:r>
      <w:r w:rsidR="00E0515A" w:rsidRPr="00CD0996">
        <w:rPr>
          <w:sz w:val="30"/>
          <w:szCs w:val="30"/>
        </w:rPr>
        <w:t xml:space="preserve"> </w:t>
      </w:r>
      <w:r w:rsidR="00E0515A" w:rsidRPr="00CD0996">
        <w:rPr>
          <w:sz w:val="30"/>
          <w:szCs w:val="30"/>
        </w:rPr>
        <w:br/>
        <w:t xml:space="preserve">(в 2024 году – </w:t>
      </w:r>
      <w:r w:rsidR="001371C8" w:rsidRPr="00CD0996">
        <w:rPr>
          <w:sz w:val="30"/>
          <w:szCs w:val="30"/>
        </w:rPr>
        <w:t>2</w:t>
      </w:r>
      <w:r w:rsidR="00E0515A" w:rsidRPr="00CD0996">
        <w:rPr>
          <w:sz w:val="30"/>
          <w:szCs w:val="30"/>
        </w:rPr>
        <w:t xml:space="preserve"> и 1</w:t>
      </w:r>
      <w:r w:rsidR="005D37A1" w:rsidRPr="00CD0996">
        <w:rPr>
          <w:sz w:val="30"/>
          <w:szCs w:val="30"/>
        </w:rPr>
        <w:t>2</w:t>
      </w:r>
      <w:r w:rsidR="00E0515A" w:rsidRPr="00CD0996">
        <w:rPr>
          <w:sz w:val="30"/>
          <w:szCs w:val="30"/>
        </w:rPr>
        <w:t xml:space="preserve"> соответственно).</w:t>
      </w:r>
    </w:p>
    <w:p w:rsidR="00E06830" w:rsidRPr="00CD0996" w:rsidRDefault="0024589B" w:rsidP="00E06830">
      <w:pPr>
        <w:ind w:firstLine="709"/>
        <w:rPr>
          <w:sz w:val="16"/>
          <w:szCs w:val="16"/>
        </w:rPr>
      </w:pPr>
      <w:r w:rsidRPr="00CD0996">
        <w:rPr>
          <w:sz w:val="30"/>
          <w:szCs w:val="30"/>
        </w:rPr>
        <w:t xml:space="preserve">В 2025 году </w:t>
      </w:r>
      <w:r w:rsidR="00394871" w:rsidRPr="00CD0996">
        <w:rPr>
          <w:sz w:val="30"/>
          <w:szCs w:val="30"/>
        </w:rPr>
        <w:t>произошл</w:t>
      </w:r>
      <w:r w:rsidR="00933D06" w:rsidRPr="00CD0996">
        <w:rPr>
          <w:sz w:val="30"/>
          <w:szCs w:val="30"/>
        </w:rPr>
        <w:t>о</w:t>
      </w:r>
      <w:r w:rsidR="00394871" w:rsidRPr="00CD0996">
        <w:rPr>
          <w:sz w:val="30"/>
          <w:szCs w:val="30"/>
        </w:rPr>
        <w:t xml:space="preserve"> </w:t>
      </w:r>
      <w:r w:rsidR="002D0766" w:rsidRPr="00CD0996">
        <w:rPr>
          <w:sz w:val="30"/>
          <w:szCs w:val="30"/>
        </w:rPr>
        <w:t>9</w:t>
      </w:r>
      <w:r w:rsidR="00933D06" w:rsidRPr="00CD0996">
        <w:rPr>
          <w:sz w:val="30"/>
          <w:szCs w:val="30"/>
        </w:rPr>
        <w:t xml:space="preserve"> </w:t>
      </w:r>
      <w:r w:rsidR="00394871" w:rsidRPr="00CD0996">
        <w:rPr>
          <w:sz w:val="30"/>
          <w:szCs w:val="30"/>
        </w:rPr>
        <w:t>группов</w:t>
      </w:r>
      <w:r w:rsidR="00933D06" w:rsidRPr="00CD0996">
        <w:rPr>
          <w:sz w:val="30"/>
          <w:szCs w:val="30"/>
        </w:rPr>
        <w:t>ых</w:t>
      </w:r>
      <w:r w:rsidR="00394871" w:rsidRPr="00CD0996">
        <w:rPr>
          <w:sz w:val="30"/>
          <w:szCs w:val="30"/>
        </w:rPr>
        <w:t xml:space="preserve"> несчастны</w:t>
      </w:r>
      <w:r w:rsidR="00E06830" w:rsidRPr="00CD0996">
        <w:rPr>
          <w:sz w:val="30"/>
          <w:szCs w:val="30"/>
        </w:rPr>
        <w:t>х</w:t>
      </w:r>
      <w:r w:rsidR="00394871" w:rsidRPr="00CD0996">
        <w:rPr>
          <w:sz w:val="30"/>
          <w:szCs w:val="30"/>
        </w:rPr>
        <w:t xml:space="preserve"> случа</w:t>
      </w:r>
      <w:r w:rsidR="00792BFD" w:rsidRPr="00CD0996">
        <w:rPr>
          <w:sz w:val="30"/>
          <w:szCs w:val="30"/>
        </w:rPr>
        <w:t>ев</w:t>
      </w:r>
      <w:r w:rsidR="00394871" w:rsidRPr="00CD0996">
        <w:rPr>
          <w:sz w:val="30"/>
          <w:szCs w:val="30"/>
        </w:rPr>
        <w:t xml:space="preserve"> </w:t>
      </w:r>
      <w:r w:rsidR="00E06830" w:rsidRPr="00CD0996">
        <w:rPr>
          <w:sz w:val="30"/>
          <w:szCs w:val="30"/>
        </w:rPr>
        <w:t xml:space="preserve">(из них </w:t>
      </w:r>
      <w:r w:rsidR="002D0766" w:rsidRPr="00CD0996">
        <w:rPr>
          <w:sz w:val="30"/>
          <w:szCs w:val="30"/>
        </w:rPr>
        <w:t>3</w:t>
      </w:r>
      <w:r w:rsidR="00E06830" w:rsidRPr="00CD0996">
        <w:rPr>
          <w:sz w:val="30"/>
          <w:szCs w:val="30"/>
        </w:rPr>
        <w:t xml:space="preserve"> –в результате ДТП)</w:t>
      </w:r>
      <w:r w:rsidR="00994C02" w:rsidRPr="00CD0996">
        <w:rPr>
          <w:sz w:val="30"/>
          <w:szCs w:val="30"/>
        </w:rPr>
        <w:t>,</w:t>
      </w:r>
      <w:r w:rsidR="00933D06" w:rsidRPr="00CD0996">
        <w:rPr>
          <w:sz w:val="30"/>
          <w:szCs w:val="30"/>
        </w:rPr>
        <w:t xml:space="preserve"> пострадал</w:t>
      </w:r>
      <w:r w:rsidR="00E06830" w:rsidRPr="00CD0996">
        <w:rPr>
          <w:sz w:val="30"/>
          <w:szCs w:val="30"/>
        </w:rPr>
        <w:t>о</w:t>
      </w:r>
      <w:r w:rsidR="00933D06" w:rsidRPr="00CD0996">
        <w:rPr>
          <w:sz w:val="30"/>
          <w:szCs w:val="30"/>
        </w:rPr>
        <w:t xml:space="preserve"> </w:t>
      </w:r>
      <w:r w:rsidR="002D0766" w:rsidRPr="00CD0996">
        <w:rPr>
          <w:sz w:val="30"/>
          <w:szCs w:val="30"/>
        </w:rPr>
        <w:t>38</w:t>
      </w:r>
      <w:r w:rsidR="00E06830" w:rsidRPr="00CD0996">
        <w:rPr>
          <w:sz w:val="30"/>
          <w:szCs w:val="30"/>
        </w:rPr>
        <w:t xml:space="preserve"> </w:t>
      </w:r>
      <w:r w:rsidRPr="00CD0996">
        <w:rPr>
          <w:sz w:val="30"/>
          <w:szCs w:val="30"/>
        </w:rPr>
        <w:t xml:space="preserve">человек, </w:t>
      </w:r>
      <w:r w:rsidR="00084E4D" w:rsidRPr="00CD0996">
        <w:rPr>
          <w:sz w:val="30"/>
          <w:szCs w:val="30"/>
        </w:rPr>
        <w:t>3</w:t>
      </w:r>
      <w:r w:rsidR="00933D06" w:rsidRPr="00CD0996">
        <w:rPr>
          <w:sz w:val="30"/>
          <w:szCs w:val="30"/>
        </w:rPr>
        <w:t xml:space="preserve"> из которых погибл</w:t>
      </w:r>
      <w:r w:rsidR="00792BFD" w:rsidRPr="00CD0996">
        <w:rPr>
          <w:sz w:val="30"/>
          <w:szCs w:val="30"/>
        </w:rPr>
        <w:t>и</w:t>
      </w:r>
      <w:r w:rsidR="003E596D" w:rsidRPr="00CD0996">
        <w:rPr>
          <w:sz w:val="30"/>
          <w:szCs w:val="30"/>
        </w:rPr>
        <w:br/>
      </w:r>
      <w:r w:rsidR="00084E4D" w:rsidRPr="00CD0996">
        <w:rPr>
          <w:sz w:val="30"/>
          <w:szCs w:val="30"/>
        </w:rPr>
        <w:t xml:space="preserve">и </w:t>
      </w:r>
      <w:r w:rsidR="002D0766" w:rsidRPr="00CD0996">
        <w:rPr>
          <w:sz w:val="30"/>
          <w:szCs w:val="30"/>
        </w:rPr>
        <w:t xml:space="preserve">15 </w:t>
      </w:r>
      <w:r w:rsidR="00933D06" w:rsidRPr="00CD0996">
        <w:rPr>
          <w:sz w:val="30"/>
          <w:szCs w:val="30"/>
        </w:rPr>
        <w:t xml:space="preserve">получили </w:t>
      </w:r>
      <w:r w:rsidR="00E06830" w:rsidRPr="00CD0996">
        <w:rPr>
          <w:sz w:val="30"/>
          <w:szCs w:val="30"/>
        </w:rPr>
        <w:t>тяжелые производственные травмы.</w:t>
      </w:r>
      <w:r w:rsidR="00994C02" w:rsidRPr="00CD0996">
        <w:rPr>
          <w:sz w:val="30"/>
          <w:szCs w:val="30"/>
        </w:rPr>
        <w:t xml:space="preserve"> </w:t>
      </w:r>
    </w:p>
    <w:p w:rsidR="002D0766" w:rsidRPr="00CD0996" w:rsidRDefault="00E06830" w:rsidP="00845468">
      <w:pPr>
        <w:spacing w:before="120" w:after="120" w:line="280" w:lineRule="exact"/>
        <w:ind w:firstLine="709"/>
        <w:rPr>
          <w:i/>
          <w:sz w:val="30"/>
          <w:szCs w:val="30"/>
        </w:rPr>
      </w:pPr>
      <w:proofErr w:type="spellStart"/>
      <w:r w:rsidRPr="00CD0996">
        <w:rPr>
          <w:i/>
          <w:sz w:val="30"/>
          <w:szCs w:val="30"/>
        </w:rPr>
        <w:t>Справочно</w:t>
      </w:r>
      <w:proofErr w:type="spellEnd"/>
      <w:r w:rsidRPr="00CD0996">
        <w:rPr>
          <w:i/>
          <w:sz w:val="30"/>
          <w:szCs w:val="30"/>
        </w:rPr>
        <w:t xml:space="preserve">. </w:t>
      </w:r>
      <w:r w:rsidR="002D0766" w:rsidRPr="00CD0996">
        <w:rPr>
          <w:i/>
          <w:sz w:val="30"/>
          <w:szCs w:val="30"/>
        </w:rPr>
        <w:t>В 2024 году произошло 5 групповых несчастных случаев (из них 4 – в результате ДТП), пострадало 12 человек, в том числе</w:t>
      </w:r>
      <w:r w:rsidR="003E596D" w:rsidRPr="00CD0996">
        <w:rPr>
          <w:i/>
          <w:sz w:val="30"/>
          <w:szCs w:val="30"/>
        </w:rPr>
        <w:br/>
      </w:r>
      <w:r w:rsidR="002D0766" w:rsidRPr="00CD0996">
        <w:rPr>
          <w:i/>
          <w:sz w:val="30"/>
          <w:szCs w:val="30"/>
        </w:rPr>
        <w:t>3 человека получили тяжелые производственные травмы.</w:t>
      </w:r>
    </w:p>
    <w:p w:rsidR="002D0766" w:rsidRPr="00CD0996" w:rsidRDefault="002D0766" w:rsidP="00E06830">
      <w:pPr>
        <w:spacing w:line="280" w:lineRule="exact"/>
        <w:ind w:firstLine="709"/>
        <w:rPr>
          <w:i/>
          <w:sz w:val="30"/>
          <w:szCs w:val="30"/>
        </w:rPr>
      </w:pPr>
    </w:p>
    <w:p w:rsidR="002D0766" w:rsidRPr="00CD0996" w:rsidRDefault="002D0766" w:rsidP="00E06830">
      <w:pPr>
        <w:spacing w:line="280" w:lineRule="exact"/>
        <w:ind w:firstLine="709"/>
        <w:rPr>
          <w:i/>
          <w:sz w:val="30"/>
          <w:szCs w:val="30"/>
        </w:rPr>
      </w:pPr>
    </w:p>
    <w:p w:rsidR="00394871" w:rsidRPr="00CD0996" w:rsidRDefault="002E1472" w:rsidP="002E1472">
      <w:pPr>
        <w:rPr>
          <w:sz w:val="30"/>
          <w:szCs w:val="30"/>
        </w:rPr>
      </w:pPr>
      <w:r w:rsidRPr="00CD0996">
        <w:rPr>
          <w:noProof/>
          <w:lang w:eastAsia="ru-RU"/>
        </w:rPr>
        <w:lastRenderedPageBreak/>
        <w:drawing>
          <wp:inline distT="0" distB="0" distL="0" distR="0" wp14:anchorId="1D55872C" wp14:editId="752F6777">
            <wp:extent cx="6115050" cy="36099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CD0996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CD0996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CD0996">
        <w:rPr>
          <w:rFonts w:eastAsia="Times New Roman"/>
          <w:spacing w:val="-6"/>
          <w:sz w:val="30"/>
          <w:szCs w:val="30"/>
          <w:lang w:eastAsia="ru-RU"/>
        </w:rPr>
        <w:t>,</w:t>
      </w: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CD0996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CD0996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CD0996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AC266F" w:rsidRPr="00CD0996">
        <w:rPr>
          <w:rFonts w:eastAsia="Times New Roman"/>
          <w:spacing w:val="-6"/>
          <w:sz w:val="30"/>
          <w:szCs w:val="30"/>
          <w:lang w:eastAsia="ru-RU"/>
        </w:rPr>
        <w:t>4</w:t>
      </w:r>
      <w:r w:rsidR="009363AB" w:rsidRPr="00CD0996">
        <w:rPr>
          <w:rFonts w:eastAsia="Times New Roman"/>
          <w:spacing w:val="-6"/>
          <w:sz w:val="30"/>
          <w:szCs w:val="30"/>
          <w:lang w:eastAsia="ru-RU"/>
        </w:rPr>
        <w:t>5</w:t>
      </w:r>
      <w:r w:rsidR="00AC266F" w:rsidRPr="00CD0996">
        <w:rPr>
          <w:rFonts w:eastAsia="Times New Roman"/>
          <w:spacing w:val="-6"/>
          <w:sz w:val="30"/>
          <w:szCs w:val="30"/>
          <w:lang w:eastAsia="ru-RU"/>
        </w:rPr>
        <w:t>,</w:t>
      </w:r>
      <w:r w:rsidR="002450D5" w:rsidRPr="00CD0996">
        <w:rPr>
          <w:rFonts w:eastAsia="Times New Roman"/>
          <w:spacing w:val="-6"/>
          <w:sz w:val="30"/>
          <w:szCs w:val="30"/>
          <w:lang w:eastAsia="ru-RU"/>
        </w:rPr>
        <w:t>4</w:t>
      </w:r>
      <w:r w:rsidR="002A2739" w:rsidRPr="00CD0996">
        <w:rPr>
          <w:rFonts w:eastAsia="Times New Roman"/>
          <w:spacing w:val="-6"/>
          <w:sz w:val="30"/>
          <w:szCs w:val="30"/>
          <w:lang w:eastAsia="ru-RU"/>
        </w:rPr>
        <w:t xml:space="preserve">% от общего количества </w:t>
      </w:r>
      <w:r w:rsidR="00F10AA0" w:rsidRPr="00CD0996">
        <w:rPr>
          <w:rFonts w:eastAsia="Times New Roman"/>
          <w:spacing w:val="-6"/>
          <w:sz w:val="30"/>
          <w:szCs w:val="30"/>
          <w:lang w:eastAsia="ru-RU"/>
        </w:rPr>
        <w:t xml:space="preserve">всех </w:t>
      </w:r>
      <w:r w:rsidR="002A2739" w:rsidRPr="00CD0996">
        <w:rPr>
          <w:rFonts w:eastAsia="Times New Roman"/>
          <w:spacing w:val="-6"/>
          <w:sz w:val="30"/>
          <w:szCs w:val="30"/>
          <w:lang w:eastAsia="ru-RU"/>
        </w:rPr>
        <w:t>травмированных)</w:t>
      </w:r>
      <w:r w:rsidR="00E91C81" w:rsidRPr="00CD099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363AB" w:rsidRPr="00CD0996" w:rsidRDefault="009363A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9363AB" w:rsidRPr="00CD0996" w:rsidRDefault="00001DCF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6A1412F" wp14:editId="634E72C7">
            <wp:simplePos x="0" y="0"/>
            <wp:positionH relativeFrom="column">
              <wp:posOffset>-821086</wp:posOffset>
            </wp:positionH>
            <wp:positionV relativeFrom="paragraph">
              <wp:posOffset>-1995</wp:posOffset>
            </wp:positionV>
            <wp:extent cx="6115685" cy="336423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CD0996">
        <w:rPr>
          <w:noProof/>
          <w:lang w:eastAsia="ru-RU"/>
        </w:rPr>
        <w:drawing>
          <wp:inline distT="0" distB="0" distL="0" distR="0" wp14:anchorId="539619CD" wp14:editId="4068C1B0">
            <wp:extent cx="6115050" cy="3448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17EA" w:rsidRPr="00CD0996" w:rsidRDefault="000232B6" w:rsidP="001717E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количество погибших 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увеличилось на 1 человека, количество тяжело травмированных увеличилось на 3 человека.</w:t>
      </w:r>
    </w:p>
    <w:p w:rsidR="00262F22" w:rsidRPr="00CD0996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CD0996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 xml:space="preserve"> осталось на уровне 2024 года и составило 9 человек, </w:t>
      </w:r>
      <w:r w:rsidR="00BA5223" w:rsidRPr="00CD0996">
        <w:rPr>
          <w:rFonts w:eastAsia="Times New Roman"/>
          <w:spacing w:val="-6"/>
          <w:sz w:val="30"/>
          <w:szCs w:val="30"/>
          <w:lang w:eastAsia="ru-RU"/>
        </w:rPr>
        <w:t xml:space="preserve">количество тяжело травмированных </w:t>
      </w:r>
      <w:r w:rsidR="009D7984" w:rsidRPr="00CD0996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CD0996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</w:t>
      </w:r>
      <w:r w:rsidR="0053288D" w:rsidRPr="00CD0996">
        <w:rPr>
          <w:rFonts w:eastAsia="Times New Roman"/>
          <w:spacing w:val="-6"/>
          <w:sz w:val="30"/>
          <w:szCs w:val="30"/>
          <w:lang w:eastAsia="ru-RU"/>
        </w:rPr>
        <w:t>1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2</w:t>
      </w:r>
      <w:r w:rsidR="00485425" w:rsidRPr="00CD099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A5223" w:rsidRPr="00CD0996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CD099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CD0996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lastRenderedPageBreak/>
        <w:t>В</w:t>
      </w:r>
      <w:r w:rsidR="003B39D4" w:rsidRPr="00CD0996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6</w:t>
      </w:r>
      <w:r w:rsidR="003B39D4" w:rsidRPr="00CD0996"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="000232B6" w:rsidRPr="00CD0996">
        <w:rPr>
          <w:rFonts w:eastAsia="Times New Roman"/>
          <w:spacing w:val="-6"/>
          <w:sz w:val="30"/>
          <w:szCs w:val="30"/>
          <w:lang w:eastAsia="ru-RU"/>
        </w:rPr>
        <w:t xml:space="preserve">количество тяжело травмированных 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также увеличилось на 6</w:t>
      </w:r>
      <w:r w:rsidR="00646042" w:rsidRPr="00CD0996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0232B6" w:rsidRPr="00CD099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CD0996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inline distT="0" distB="0" distL="0" distR="0" wp14:anchorId="0DDB4C37" wp14:editId="31079433">
            <wp:extent cx="6115353" cy="3585029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59B3" w:rsidRPr="00CD0996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:rsidR="009E53EF" w:rsidRPr="00CD0996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proofErr w:type="gramStart"/>
      <w:r w:rsidRPr="00CD0996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CD0996">
        <w:rPr>
          <w:spacing w:val="-4"/>
          <w:sz w:val="30"/>
          <w:szCs w:val="30"/>
        </w:rPr>
        <w:t xml:space="preserve"> </w:t>
      </w:r>
      <w:r w:rsidR="00811DE8" w:rsidRPr="00CD0996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4B08CC" w:rsidRPr="00CD0996">
        <w:rPr>
          <w:spacing w:val="-4"/>
          <w:sz w:val="30"/>
          <w:szCs w:val="30"/>
        </w:rPr>
        <w:t>семи</w:t>
      </w:r>
      <w:r w:rsidR="00811DE8" w:rsidRPr="00CD0996">
        <w:rPr>
          <w:spacing w:val="-4"/>
          <w:sz w:val="30"/>
          <w:szCs w:val="30"/>
        </w:rPr>
        <w:t xml:space="preserve"> организациях,</w:t>
      </w:r>
      <w:r w:rsidR="00603423" w:rsidRPr="00CD0996">
        <w:rPr>
          <w:spacing w:val="-4"/>
          <w:sz w:val="30"/>
          <w:szCs w:val="30"/>
        </w:rPr>
        <w:t xml:space="preserve"> п</w:t>
      </w:r>
      <w:r w:rsidR="00811DE8" w:rsidRPr="00CD0996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4B08CC" w:rsidRPr="00CD0996">
        <w:rPr>
          <w:rFonts w:eastAsia="Times New Roman"/>
          <w:sz w:val="30"/>
          <w:szCs w:val="30"/>
          <w:lang w:eastAsia="ru-RU"/>
        </w:rPr>
        <w:t xml:space="preserve">сельскохозяйственное унитарное предприятие </w:t>
      </w:r>
      <w:r w:rsidR="003E596D" w:rsidRPr="00CD0996">
        <w:rPr>
          <w:rFonts w:eastAsia="Times New Roman"/>
          <w:sz w:val="30"/>
          <w:szCs w:val="30"/>
          <w:lang w:eastAsia="ru-RU"/>
        </w:rPr>
        <w:br/>
      </w:r>
      <w:r w:rsidR="004B08CC" w:rsidRPr="00CD0996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Щавры-агро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>» Крупского района, производственный участок «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Чуденичи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>» ОАО «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Озерицкий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 xml:space="preserve">-Агро» 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Логойского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 xml:space="preserve"> района, ОАО «Имени 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К.И.Шаплыко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Любанского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 xml:space="preserve"> района, ОАО «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Занарочанский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="004B08CC" w:rsidRPr="00CD0996">
        <w:rPr>
          <w:rFonts w:eastAsia="Times New Roman"/>
          <w:sz w:val="30"/>
          <w:szCs w:val="30"/>
          <w:lang w:eastAsia="ru-RU"/>
        </w:rPr>
        <w:t>Мядельского</w:t>
      </w:r>
      <w:proofErr w:type="spellEnd"/>
      <w:r w:rsidR="004B08CC" w:rsidRPr="00CD0996">
        <w:rPr>
          <w:rFonts w:eastAsia="Times New Roman"/>
          <w:sz w:val="30"/>
          <w:szCs w:val="30"/>
          <w:lang w:eastAsia="ru-RU"/>
        </w:rPr>
        <w:t xml:space="preserve"> района,</w:t>
      </w:r>
      <w:r w:rsidR="003E596D" w:rsidRPr="00CD0996">
        <w:rPr>
          <w:rFonts w:eastAsia="Times New Roman"/>
          <w:sz w:val="30"/>
          <w:szCs w:val="30"/>
          <w:lang w:eastAsia="ru-RU"/>
        </w:rPr>
        <w:br/>
      </w:r>
      <w:r w:rsidR="00811DE8" w:rsidRPr="00CD0996">
        <w:rPr>
          <w:spacing w:val="-4"/>
          <w:sz w:val="30"/>
          <w:szCs w:val="30"/>
        </w:rPr>
        <w:t xml:space="preserve">ОАО </w:t>
      </w:r>
      <w:r w:rsidR="009E53EF" w:rsidRPr="00CD0996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CD0996">
        <w:rPr>
          <w:rFonts w:eastAsia="Times New Roman"/>
          <w:sz w:val="30"/>
          <w:szCs w:val="30"/>
          <w:lang w:eastAsia="ru-RU"/>
        </w:rPr>
        <w:t>Несвижские</w:t>
      </w:r>
      <w:proofErr w:type="spellEnd"/>
      <w:r w:rsidR="009E53EF" w:rsidRPr="00CD0996">
        <w:rPr>
          <w:rFonts w:eastAsia="Times New Roman"/>
          <w:sz w:val="30"/>
          <w:szCs w:val="30"/>
          <w:lang w:eastAsia="ru-RU"/>
        </w:rPr>
        <w:t xml:space="preserve"> Островки»</w:t>
      </w:r>
      <w:r w:rsidR="009E53EF" w:rsidRPr="00CD0996">
        <w:rPr>
          <w:spacing w:val="-4"/>
          <w:sz w:val="30"/>
          <w:szCs w:val="30"/>
        </w:rPr>
        <w:t xml:space="preserve"> Несвижского района</w:t>
      </w:r>
      <w:r w:rsidR="000E00DF" w:rsidRPr="00CD0996">
        <w:rPr>
          <w:spacing w:val="-4"/>
          <w:sz w:val="30"/>
          <w:szCs w:val="30"/>
        </w:rPr>
        <w:t>, ОАО «Индустрия-СХ» Пуховичского района и филиал «</w:t>
      </w:r>
      <w:proofErr w:type="spellStart"/>
      <w:r w:rsidR="000E00DF" w:rsidRPr="00CD0996">
        <w:rPr>
          <w:spacing w:val="-4"/>
          <w:sz w:val="30"/>
          <w:szCs w:val="30"/>
        </w:rPr>
        <w:t>Племптицерепродуктор</w:t>
      </w:r>
      <w:proofErr w:type="spellEnd"/>
      <w:r w:rsidR="000E00DF" w:rsidRPr="00CD0996">
        <w:rPr>
          <w:spacing w:val="-4"/>
          <w:sz w:val="30"/>
          <w:szCs w:val="30"/>
        </w:rPr>
        <w:t xml:space="preserve"> «Бройлер»</w:t>
      </w:r>
      <w:r w:rsidR="003E596D" w:rsidRPr="00CD0996">
        <w:rPr>
          <w:spacing w:val="-4"/>
          <w:sz w:val="30"/>
          <w:szCs w:val="30"/>
        </w:rPr>
        <w:br/>
      </w:r>
      <w:r w:rsidR="000E00DF" w:rsidRPr="00CD0996">
        <w:rPr>
          <w:spacing w:val="-4"/>
          <w:sz w:val="30"/>
          <w:szCs w:val="30"/>
        </w:rPr>
        <w:t>ОАО</w:t>
      </w:r>
      <w:proofErr w:type="gramEnd"/>
      <w:r w:rsidR="000E00DF" w:rsidRPr="00CD0996">
        <w:rPr>
          <w:spacing w:val="-4"/>
          <w:sz w:val="30"/>
          <w:szCs w:val="30"/>
        </w:rPr>
        <w:t xml:space="preserve"> «</w:t>
      </w:r>
      <w:proofErr w:type="gramStart"/>
      <w:r w:rsidR="000E00DF" w:rsidRPr="00CD0996">
        <w:rPr>
          <w:spacing w:val="-4"/>
          <w:sz w:val="30"/>
          <w:szCs w:val="30"/>
        </w:rPr>
        <w:t xml:space="preserve">Агрокомбинат «Дзержинский» </w:t>
      </w:r>
      <w:proofErr w:type="spellStart"/>
      <w:r w:rsidR="000E00DF" w:rsidRPr="00CD0996">
        <w:rPr>
          <w:spacing w:val="-4"/>
          <w:sz w:val="30"/>
          <w:szCs w:val="30"/>
        </w:rPr>
        <w:t>Столбцовского</w:t>
      </w:r>
      <w:proofErr w:type="spellEnd"/>
      <w:r w:rsidR="000E00DF" w:rsidRPr="00CD0996">
        <w:rPr>
          <w:spacing w:val="-4"/>
          <w:sz w:val="30"/>
          <w:szCs w:val="30"/>
        </w:rPr>
        <w:t xml:space="preserve"> района</w:t>
      </w:r>
      <w:r w:rsidR="00A1415D" w:rsidRPr="00CD0996">
        <w:rPr>
          <w:rFonts w:eastAsia="Times New Roman"/>
          <w:sz w:val="30"/>
          <w:szCs w:val="30"/>
          <w:lang w:eastAsia="ru-RU"/>
        </w:rPr>
        <w:t>)</w:t>
      </w:r>
      <w:r w:rsidR="00792BFD" w:rsidRPr="00CD0996">
        <w:rPr>
          <w:rFonts w:eastAsia="Times New Roman"/>
          <w:sz w:val="30"/>
          <w:szCs w:val="30"/>
          <w:lang w:eastAsia="ru-RU"/>
        </w:rPr>
        <w:t xml:space="preserve">, </w:t>
      </w:r>
      <w:r w:rsidR="00811DE8" w:rsidRPr="00CD0996">
        <w:rPr>
          <w:spacing w:val="-4"/>
          <w:sz w:val="30"/>
          <w:szCs w:val="30"/>
        </w:rPr>
        <w:t xml:space="preserve">и </w:t>
      </w:r>
      <w:r w:rsidR="000E00DF" w:rsidRPr="00CD0996">
        <w:rPr>
          <w:spacing w:val="-4"/>
          <w:sz w:val="30"/>
          <w:szCs w:val="30"/>
        </w:rPr>
        <w:t>двух</w:t>
      </w:r>
      <w:r w:rsidR="001428D0" w:rsidRPr="00CD0996">
        <w:rPr>
          <w:spacing w:val="-4"/>
          <w:sz w:val="30"/>
          <w:szCs w:val="30"/>
        </w:rPr>
        <w:t xml:space="preserve"> организациях, подведомственных ко</w:t>
      </w:r>
      <w:r w:rsidR="00811DE8" w:rsidRPr="00CD0996">
        <w:rPr>
          <w:spacing w:val="-4"/>
          <w:sz w:val="30"/>
          <w:szCs w:val="30"/>
        </w:rPr>
        <w:t>митету</w:t>
      </w:r>
      <w:r w:rsidR="00603423" w:rsidRPr="00CD0996">
        <w:rPr>
          <w:spacing w:val="-4"/>
          <w:sz w:val="30"/>
          <w:szCs w:val="30"/>
        </w:rPr>
        <w:t xml:space="preserve"> </w:t>
      </w:r>
      <w:r w:rsidR="00811DE8" w:rsidRPr="00CD0996">
        <w:rPr>
          <w:spacing w:val="-4"/>
          <w:sz w:val="30"/>
          <w:szCs w:val="30"/>
        </w:rPr>
        <w:t>по архитектуре и строительству</w:t>
      </w:r>
      <w:r w:rsidR="00B65A00" w:rsidRPr="00CD0996">
        <w:rPr>
          <w:spacing w:val="-4"/>
          <w:sz w:val="30"/>
          <w:szCs w:val="30"/>
        </w:rPr>
        <w:t xml:space="preserve"> облисполкома</w:t>
      </w:r>
      <w:r w:rsidR="001428D0" w:rsidRPr="00CD0996">
        <w:rPr>
          <w:spacing w:val="-4"/>
          <w:sz w:val="30"/>
          <w:szCs w:val="30"/>
        </w:rPr>
        <w:t xml:space="preserve"> </w:t>
      </w:r>
      <w:r w:rsidR="00811DE8" w:rsidRPr="00CD0996">
        <w:rPr>
          <w:spacing w:val="-4"/>
          <w:sz w:val="30"/>
          <w:szCs w:val="30"/>
        </w:rPr>
        <w:t>(</w:t>
      </w:r>
      <w:r w:rsidR="001428D0" w:rsidRPr="00CD0996">
        <w:rPr>
          <w:rFonts w:eastAsia="Times New Roman"/>
          <w:sz w:val="30"/>
          <w:szCs w:val="30"/>
          <w:lang w:eastAsia="ru-RU"/>
        </w:rPr>
        <w:t>строительное управление № 95</w:t>
      </w:r>
      <w:r w:rsidR="00B65A00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646042" w:rsidRPr="00CD0996">
        <w:rPr>
          <w:rFonts w:eastAsia="Times New Roman"/>
          <w:sz w:val="30"/>
          <w:szCs w:val="30"/>
          <w:lang w:eastAsia="ru-RU"/>
        </w:rPr>
        <w:t>ОАО</w:t>
      </w:r>
      <w:r w:rsidR="001428D0" w:rsidRPr="00CD0996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</w:t>
      </w:r>
      <w:r w:rsidR="006E70A7" w:rsidRPr="00CD0996">
        <w:rPr>
          <w:rFonts w:eastAsia="Times New Roman"/>
          <w:sz w:val="30"/>
          <w:szCs w:val="30"/>
          <w:lang w:eastAsia="ru-RU"/>
        </w:rPr>
        <w:t>и филиал «Автобусный парк № 1»</w:t>
      </w:r>
      <w:r w:rsidR="003E596D" w:rsidRPr="00CD0996">
        <w:rPr>
          <w:rFonts w:eastAsia="Times New Roman"/>
          <w:sz w:val="30"/>
          <w:szCs w:val="30"/>
          <w:lang w:eastAsia="ru-RU"/>
        </w:rPr>
        <w:br/>
      </w:r>
      <w:r w:rsidR="006E70A7" w:rsidRPr="00CD0996">
        <w:rPr>
          <w:rFonts w:eastAsia="Times New Roman"/>
          <w:sz w:val="30"/>
          <w:szCs w:val="30"/>
          <w:lang w:eastAsia="ru-RU"/>
        </w:rPr>
        <w:t>ОАО «МИНОБЛАВТОТРАНС» Солигорского района).</w:t>
      </w:r>
      <w:proofErr w:type="gramEnd"/>
    </w:p>
    <w:p w:rsidR="001E5B21" w:rsidRPr="00CD0996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CD0996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A76085" w:rsidRPr="00CD0996">
        <w:rPr>
          <w:rFonts w:eastAsia="Times New Roman"/>
          <w:sz w:val="30"/>
          <w:szCs w:val="30"/>
          <w:lang w:eastAsia="ru-RU"/>
        </w:rPr>
        <w:br/>
      </w:r>
      <w:r w:rsidRPr="00CD0996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3F08BE" w:rsidRPr="00CD0996">
        <w:rPr>
          <w:rFonts w:eastAsia="Times New Roman"/>
          <w:sz w:val="30"/>
          <w:szCs w:val="30"/>
          <w:lang w:eastAsia="ru-RU"/>
        </w:rPr>
        <w:t>1</w:t>
      </w:r>
      <w:r w:rsidR="0038656D" w:rsidRPr="00CD0996">
        <w:rPr>
          <w:rFonts w:eastAsia="Times New Roman"/>
          <w:sz w:val="30"/>
          <w:szCs w:val="30"/>
          <w:lang w:eastAsia="ru-RU"/>
        </w:rPr>
        <w:t>9</w:t>
      </w:r>
      <w:r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B25BD5" w:rsidRPr="00CD0996">
        <w:rPr>
          <w:rFonts w:eastAsia="Times New Roman"/>
          <w:sz w:val="30"/>
          <w:szCs w:val="30"/>
          <w:lang w:eastAsia="ru-RU"/>
        </w:rPr>
        <w:t>2</w:t>
      </w:r>
      <w:r w:rsidR="0038656D" w:rsidRPr="00CD0996">
        <w:rPr>
          <w:rFonts w:eastAsia="Times New Roman"/>
          <w:sz w:val="30"/>
          <w:szCs w:val="30"/>
          <w:lang w:eastAsia="ru-RU"/>
        </w:rPr>
        <w:t>5</w:t>
      </w:r>
      <w:r w:rsidR="003F08BE" w:rsidRPr="00CD0996">
        <w:rPr>
          <w:rFonts w:eastAsia="Times New Roman"/>
          <w:sz w:val="30"/>
          <w:szCs w:val="30"/>
          <w:lang w:eastAsia="ru-RU"/>
        </w:rPr>
        <w:t>)</w:t>
      </w:r>
      <w:r w:rsidRPr="00CD0996">
        <w:rPr>
          <w:rFonts w:eastAsia="Times New Roman"/>
          <w:sz w:val="30"/>
          <w:szCs w:val="30"/>
          <w:lang w:eastAsia="ru-RU"/>
        </w:rPr>
        <w:t>, комитету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 xml:space="preserve">по архитектуре и строительству облисполкома (с </w:t>
      </w:r>
      <w:r w:rsidR="0038656D" w:rsidRPr="00CD0996">
        <w:rPr>
          <w:rFonts w:eastAsia="Times New Roman"/>
          <w:sz w:val="30"/>
          <w:szCs w:val="30"/>
          <w:lang w:eastAsia="ru-RU"/>
        </w:rPr>
        <w:t>5</w:t>
      </w:r>
      <w:r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38656D" w:rsidRPr="00CD0996">
        <w:rPr>
          <w:rFonts w:eastAsia="Times New Roman"/>
          <w:sz w:val="30"/>
          <w:szCs w:val="30"/>
          <w:lang w:eastAsia="ru-RU"/>
        </w:rPr>
        <w:t>8</w:t>
      </w:r>
      <w:r w:rsidRPr="00CD0996">
        <w:rPr>
          <w:rFonts w:eastAsia="Times New Roman"/>
          <w:sz w:val="30"/>
          <w:szCs w:val="30"/>
          <w:lang w:eastAsia="ru-RU"/>
        </w:rPr>
        <w:t>)</w:t>
      </w:r>
      <w:r w:rsidR="001E5B21" w:rsidRPr="00CD0996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CD0996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CD0996">
        <w:rPr>
          <w:rFonts w:eastAsia="Times New Roman"/>
          <w:sz w:val="30"/>
          <w:szCs w:val="30"/>
          <w:lang w:eastAsia="ru-RU"/>
        </w:rPr>
        <w:t>области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CD0996">
        <w:rPr>
          <w:rFonts w:eastAsia="Times New Roman"/>
          <w:sz w:val="30"/>
          <w:szCs w:val="30"/>
          <w:lang w:eastAsia="ru-RU"/>
        </w:rPr>
        <w:t xml:space="preserve">(с </w:t>
      </w:r>
      <w:r w:rsidR="0038656D" w:rsidRPr="00CD0996">
        <w:rPr>
          <w:rFonts w:eastAsia="Times New Roman"/>
          <w:sz w:val="30"/>
          <w:szCs w:val="30"/>
          <w:lang w:eastAsia="ru-RU"/>
        </w:rPr>
        <w:t>4</w:t>
      </w:r>
      <w:r w:rsidR="001E5B21"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38656D" w:rsidRPr="00CD0996">
        <w:rPr>
          <w:rFonts w:eastAsia="Times New Roman"/>
          <w:sz w:val="30"/>
          <w:szCs w:val="30"/>
          <w:lang w:eastAsia="ru-RU"/>
        </w:rPr>
        <w:t>7</w:t>
      </w:r>
      <w:r w:rsidR="001E5B21" w:rsidRPr="00CD0996">
        <w:rPr>
          <w:rFonts w:eastAsia="Times New Roman"/>
          <w:sz w:val="30"/>
          <w:szCs w:val="30"/>
          <w:lang w:eastAsia="ru-RU"/>
        </w:rPr>
        <w:t>)</w:t>
      </w:r>
      <w:r w:rsidR="0038656D" w:rsidRPr="00CD0996">
        <w:rPr>
          <w:rFonts w:eastAsia="Times New Roman"/>
          <w:sz w:val="30"/>
          <w:szCs w:val="30"/>
          <w:lang w:eastAsia="ru-RU"/>
        </w:rPr>
        <w:t xml:space="preserve"> и главному управлению по образованию</w:t>
      </w:r>
      <w:proofErr w:type="gramEnd"/>
      <w:r w:rsidR="0038656D" w:rsidRPr="00CD0996">
        <w:rPr>
          <w:rFonts w:eastAsia="Times New Roman"/>
          <w:sz w:val="30"/>
          <w:szCs w:val="30"/>
          <w:lang w:eastAsia="ru-RU"/>
        </w:rPr>
        <w:t xml:space="preserve"> облисполкома (с 2 до 6).</w:t>
      </w:r>
    </w:p>
    <w:p w:rsidR="001E5B21" w:rsidRPr="00CD0996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0ACD478A" wp14:editId="003E38E7">
            <wp:extent cx="6115353" cy="4475238"/>
            <wp:effectExtent l="0" t="0" r="0" b="190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935FD" w:rsidRPr="00CD0996" w:rsidRDefault="004935FD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11463F" w:rsidRPr="00CD0996" w:rsidRDefault="00CE7E3C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В 2025 году </w:t>
      </w:r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Клецкого </w:t>
      </w:r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B25BD5" w:rsidRPr="00CD0996">
        <w:rPr>
          <w:rFonts w:eastAsia="Times New Roman"/>
          <w:spacing w:val="-4"/>
          <w:sz w:val="30"/>
          <w:szCs w:val="30"/>
          <w:lang w:eastAsia="ru-RU"/>
        </w:rPr>
        <w:t>а</w:t>
      </w:r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CD0996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="0060342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CD0996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CD0996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</w:t>
      </w:r>
      <w:proofErr w:type="spellStart"/>
      <w:r w:rsidR="00A76085" w:rsidRPr="00CD0996">
        <w:rPr>
          <w:rFonts w:eastAsia="Times New Roman"/>
          <w:spacing w:val="-4"/>
          <w:sz w:val="30"/>
          <w:szCs w:val="30"/>
          <w:lang w:eastAsia="ru-RU"/>
        </w:rPr>
        <w:t>Вил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>ейского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0342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proofErr w:type="spellStart"/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CE7E3C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3455F6" w:rsidRPr="00CD0996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3455F6" w:rsidRPr="00CD0996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CD0996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CD0996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CD0996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CD0996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CD0996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CD0996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CD0996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CD099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CD099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г. Жодино (с 1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1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), Крупского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4),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 xml:space="preserve"> (с 7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18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8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>1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, Слуцкого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23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28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30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4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1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12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 xml:space="preserve"> (с 4 до 6)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и</w:t>
      </w:r>
      <w:proofErr w:type="gramEnd"/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B94F55" w:rsidRPr="00CD0996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CD0996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CD099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 xml:space="preserve"> в 2025 году</w:t>
      </w:r>
      <w:r w:rsidR="0041262A" w:rsidRPr="00CD0996">
        <w:rPr>
          <w:rFonts w:eastAsia="Times New Roman"/>
          <w:spacing w:val="-4"/>
          <w:sz w:val="30"/>
          <w:szCs w:val="30"/>
          <w:lang w:eastAsia="ru-RU"/>
        </w:rPr>
        <w:t xml:space="preserve">, на 10 тыс. застрахованных в организациях </w:t>
      </w:r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</w:t>
      </w:r>
      <w:proofErr w:type="spellStart"/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>Кч</w:t>
      </w:r>
      <w:proofErr w:type="spellEnd"/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>) состав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>ляет 6,01</w:t>
      </w:r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>человек (в 2024 году – 6,29).</w:t>
      </w:r>
    </w:p>
    <w:p w:rsidR="004935FD" w:rsidRPr="00CD0996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Коэффициент частоты производственного травматизма в организациях г. Жодино, Березинского,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Пуховичского, Слуцкого, Смолевичского, Солигорского,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районов превышает аналогичный показатель в целом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br/>
        <w:t>по области.</w:t>
      </w:r>
    </w:p>
    <w:p w:rsidR="00126559" w:rsidRPr="00CD099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noProof/>
          <w:lang w:eastAsia="ru-RU"/>
        </w:rPr>
        <w:lastRenderedPageBreak/>
        <w:drawing>
          <wp:inline distT="0" distB="0" distL="0" distR="0" wp14:anchorId="6E199922" wp14:editId="6714956D">
            <wp:extent cx="6115353" cy="257870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C2B98" w:rsidRPr="00CD0996" w:rsidRDefault="005C2B98" w:rsidP="00126559">
      <w:pPr>
        <w:rPr>
          <w:rFonts w:eastAsia="Times New Roman"/>
          <w:spacing w:val="-4"/>
          <w:sz w:val="30"/>
          <w:szCs w:val="30"/>
          <w:lang w:eastAsia="ru-RU"/>
        </w:rPr>
      </w:pPr>
    </w:p>
    <w:p w:rsidR="00126559" w:rsidRPr="00CD099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inline distT="0" distB="0" distL="0" distR="0" wp14:anchorId="1BB56A37" wp14:editId="19B87DE0">
            <wp:extent cx="6115353" cy="1959429"/>
            <wp:effectExtent l="0" t="0" r="0" b="317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C2B98" w:rsidRPr="00CD0996" w:rsidRDefault="005C2B98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E045E3" w:rsidRPr="00CD0996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CD0996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Pr="00CD099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84E18" w:rsidRPr="00CD0996">
        <w:rPr>
          <w:rFonts w:eastAsia="Times New Roman"/>
          <w:spacing w:val="-4"/>
          <w:sz w:val="30"/>
          <w:szCs w:val="30"/>
          <w:lang w:eastAsia="ru-RU"/>
        </w:rPr>
        <w:t>г. Жодино,</w:t>
      </w:r>
      <w:r w:rsidR="00DF6FB5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DF6FB5" w:rsidRPr="00CD099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DF6FB5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DF6FB5" w:rsidRPr="00CD0996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Слуцкого, </w:t>
      </w:r>
      <w:r w:rsidR="00E84E18" w:rsidRPr="00CD0996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</w:t>
      </w:r>
      <w:r w:rsidR="009D1EE1" w:rsidRPr="00CD0996">
        <w:rPr>
          <w:rFonts w:eastAsia="Times New Roman"/>
          <w:spacing w:val="-4"/>
          <w:sz w:val="30"/>
          <w:szCs w:val="30"/>
          <w:lang w:eastAsia="ru-RU"/>
        </w:rPr>
        <w:t xml:space="preserve">Солигорского, </w:t>
      </w:r>
      <w:proofErr w:type="spellStart"/>
      <w:r w:rsidR="00E84E18" w:rsidRPr="00CD099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6CA6" w:rsidRPr="00CD0996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DA6CA6" w:rsidRPr="00CD099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A6CA6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B63BE1" w:rsidRPr="00CD0996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ascii="Arial Black" w:hAnsi="Arial Black"/>
          <w:noProof/>
          <w:sz w:val="20"/>
          <w:szCs w:val="20"/>
          <w:lang w:eastAsia="ru-RU"/>
        </w:rPr>
        <w:drawing>
          <wp:inline distT="0" distB="0" distL="0" distR="0" wp14:anchorId="55C1AF33" wp14:editId="026B138B">
            <wp:extent cx="6115353" cy="3410857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665D" w:rsidRPr="00CD0996" w:rsidRDefault="00FF5235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Рост числа несчастных случаев на производстве со смертельным исходом допущен в организациях Минского района (с 6 до 7).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По одному случаю гибели людей на производстве отмечено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1E6054">
        <w:rPr>
          <w:rFonts w:eastAsia="Times New Roman"/>
          <w:spacing w:val="-4"/>
          <w:sz w:val="30"/>
          <w:szCs w:val="30"/>
          <w:lang w:eastAsia="ru-RU"/>
        </w:rPr>
        <w:t>Крупского</w:t>
      </w:r>
      <w:r w:rsidR="001E6054">
        <w:rPr>
          <w:rFonts w:eastAsia="Times New Roman"/>
          <w:spacing w:val="-4"/>
          <w:sz w:val="30"/>
          <w:szCs w:val="30"/>
          <w:lang w:val="be-BY" w:eastAsia="ru-RU"/>
        </w:rPr>
        <w:t xml:space="preserve">, Любанского, Молодечненского, </w:t>
      </w:r>
      <w:proofErr w:type="spellStart"/>
      <w:r w:rsidR="009D1EE1" w:rsidRPr="00CD0996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9D1EE1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E6054" w:rsidRPr="001E6054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Слуцкого и </w:t>
      </w:r>
      <w:proofErr w:type="spellStart"/>
      <w:r w:rsidR="001E6054" w:rsidRPr="001E6054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1E6054" w:rsidRPr="001E605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районов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, в которых за аналогичный период прошлого года таких случаев не было.</w:t>
      </w:r>
    </w:p>
    <w:p w:rsidR="0042665D" w:rsidRPr="00CD0996" w:rsidRDefault="00E045E3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 w:rsidRPr="00CD0996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Pr="00CD0996">
        <w:rPr>
          <w:rFonts w:eastAsia="Times New Roman"/>
          <w:spacing w:val="-4"/>
          <w:sz w:val="30"/>
          <w:szCs w:val="30"/>
          <w:lang w:eastAsia="ru-RU"/>
        </w:rPr>
        <w:t>к тяжелым производственным т</w:t>
      </w:r>
      <w:r w:rsidR="00A465EB" w:rsidRPr="00CD0996">
        <w:rPr>
          <w:rFonts w:eastAsia="Times New Roman"/>
          <w:spacing w:val="-4"/>
          <w:sz w:val="30"/>
          <w:szCs w:val="30"/>
          <w:lang w:eastAsia="ru-RU"/>
        </w:rPr>
        <w:t xml:space="preserve">равмам, допущен в организациях </w:t>
      </w:r>
      <w:proofErr w:type="spellStart"/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270CB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>2</w:t>
      </w:r>
      <w:r w:rsidR="00D270CB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5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>а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.</w:t>
      </w:r>
      <w:r w:rsidR="00A465EB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района </w:t>
      </w:r>
      <w:r w:rsidR="00D270CB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в результате несчастных случаев на производстве 6 человек получили тяжелые травмы (за аналогичный период прошлого года таких случаев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br/>
        <w:t>не отмечено).</w:t>
      </w:r>
    </w:p>
    <w:p w:rsidR="002C7D48" w:rsidRPr="00CD0996" w:rsidRDefault="002C7D48" w:rsidP="002C7D48">
      <w:pPr>
        <w:rPr>
          <w:spacing w:val="-4"/>
          <w:sz w:val="16"/>
          <w:szCs w:val="16"/>
        </w:rPr>
      </w:pPr>
    </w:p>
    <w:p w:rsidR="00907252" w:rsidRPr="00CD0996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noProof/>
          <w:sz w:val="16"/>
          <w:szCs w:val="16"/>
          <w:lang w:eastAsia="ru-RU"/>
        </w:rPr>
        <w:drawing>
          <wp:inline distT="0" distB="0" distL="0" distR="0" wp14:anchorId="346CB98C" wp14:editId="4A1704AE">
            <wp:extent cx="6114700" cy="4448584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5468" w:rsidRDefault="00845468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664779" w:rsidRPr="00CD0996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CD0996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29</w:t>
      </w:r>
      <w:r w:rsidR="00631551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2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%)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, где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в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2025 год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у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65ED2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8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человек погибло и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41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получил тяжелые производственные травмы, сельского хозяйства (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2</w:t>
      </w:r>
      <w:r w:rsidR="00487F2C" w:rsidRPr="00CD0996">
        <w:rPr>
          <w:rFonts w:eastAsia="Times New Roman"/>
          <w:spacing w:val="-4"/>
          <w:sz w:val="30"/>
          <w:szCs w:val="30"/>
          <w:lang w:eastAsia="ru-RU"/>
        </w:rPr>
        <w:t>5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6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9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погибло и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34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травмировано), </w:t>
      </w:r>
      <w:r w:rsidR="00914C5F" w:rsidRPr="00CD0996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(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1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погибло и 1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6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горнодобывающей промышленности (8,3%, 14 тяжело травмировано)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и организации, осуществляющие транспортную деятельность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(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6,5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3 погибло</w:t>
      </w:r>
      <w:proofErr w:type="gramEnd"/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8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CD0996" w:rsidRDefault="002C7D48" w:rsidP="002C7D48">
      <w:pPr>
        <w:rPr>
          <w:spacing w:val="-4"/>
          <w:sz w:val="16"/>
          <w:szCs w:val="16"/>
        </w:rPr>
      </w:pPr>
      <w:r w:rsidRPr="00CD0996">
        <w:rPr>
          <w:noProof/>
          <w:lang w:eastAsia="ru-RU"/>
        </w:rPr>
        <w:lastRenderedPageBreak/>
        <w:drawing>
          <wp:inline distT="0" distB="0" distL="0" distR="0" wp14:anchorId="1FF52F52" wp14:editId="1C252C71">
            <wp:extent cx="6105676" cy="4073676"/>
            <wp:effectExtent l="0" t="0" r="0" b="317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0257F" w:rsidRPr="00CD0996" w:rsidRDefault="0060257F" w:rsidP="002516EF">
      <w:pPr>
        <w:ind w:firstLine="709"/>
        <w:rPr>
          <w:spacing w:val="-4"/>
          <w:sz w:val="16"/>
          <w:szCs w:val="16"/>
        </w:rPr>
      </w:pPr>
    </w:p>
    <w:p w:rsidR="00F65ED2" w:rsidRPr="00CD0996" w:rsidRDefault="00C66C65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Основным </w:t>
      </w:r>
      <w:r w:rsidR="00AE7DC8" w:rsidRPr="00CD0996">
        <w:rPr>
          <w:spacing w:val="-4"/>
          <w:sz w:val="30"/>
          <w:szCs w:val="30"/>
        </w:rPr>
        <w:t>видом происшествий</w:t>
      </w:r>
      <w:r w:rsidRPr="00CD0996">
        <w:rPr>
          <w:spacing w:val="-4"/>
          <w:sz w:val="30"/>
          <w:szCs w:val="30"/>
        </w:rPr>
        <w:t xml:space="preserve">, приведшим к несчастным случаям </w:t>
      </w:r>
      <w:r w:rsidR="00F65ED2" w:rsidRPr="00CD0996">
        <w:rPr>
          <w:spacing w:val="-4"/>
          <w:sz w:val="30"/>
          <w:szCs w:val="30"/>
        </w:rPr>
        <w:br/>
      </w:r>
      <w:r w:rsidRPr="00CD0996">
        <w:rPr>
          <w:spacing w:val="-4"/>
          <w:sz w:val="30"/>
          <w:szCs w:val="30"/>
        </w:rPr>
        <w:t xml:space="preserve">на производстве с тяжелыми последствиями, явилось </w:t>
      </w:r>
      <w:r w:rsidR="00A828B8" w:rsidRPr="00CD0996">
        <w:rPr>
          <w:spacing w:val="-4"/>
          <w:sz w:val="30"/>
          <w:szCs w:val="30"/>
        </w:rPr>
        <w:t xml:space="preserve">падение потерпевшего, </w:t>
      </w:r>
      <w:r w:rsidR="00AE7DC8" w:rsidRPr="00CD0996">
        <w:rPr>
          <w:spacing w:val="-4"/>
          <w:sz w:val="30"/>
          <w:szCs w:val="30"/>
        </w:rPr>
        <w:br/>
      </w:r>
      <w:r w:rsidR="00A828B8" w:rsidRPr="00CD0996">
        <w:rPr>
          <w:spacing w:val="-4"/>
          <w:sz w:val="30"/>
          <w:szCs w:val="30"/>
        </w:rPr>
        <w:t xml:space="preserve">в результате чего </w:t>
      </w:r>
      <w:r w:rsidR="002D7F47" w:rsidRPr="00CD0996">
        <w:rPr>
          <w:spacing w:val="-4"/>
          <w:sz w:val="30"/>
          <w:szCs w:val="30"/>
        </w:rPr>
        <w:t>8</w:t>
      </w:r>
      <w:r w:rsidR="00A828B8" w:rsidRPr="00CD0996">
        <w:rPr>
          <w:spacing w:val="-4"/>
          <w:sz w:val="30"/>
          <w:szCs w:val="30"/>
        </w:rPr>
        <w:t xml:space="preserve"> человек погибл</w:t>
      </w:r>
      <w:r w:rsidR="003E394C" w:rsidRPr="00CD0996">
        <w:rPr>
          <w:spacing w:val="-4"/>
          <w:sz w:val="30"/>
          <w:szCs w:val="30"/>
        </w:rPr>
        <w:t>и</w:t>
      </w:r>
      <w:r w:rsidR="00A828B8" w:rsidRPr="00CD0996">
        <w:rPr>
          <w:spacing w:val="-4"/>
          <w:sz w:val="30"/>
          <w:szCs w:val="30"/>
        </w:rPr>
        <w:t xml:space="preserve"> (</w:t>
      </w:r>
      <w:r w:rsidR="00A1028A" w:rsidRPr="00CD0996">
        <w:rPr>
          <w:spacing w:val="-4"/>
          <w:sz w:val="30"/>
          <w:szCs w:val="30"/>
        </w:rPr>
        <w:t>26,7</w:t>
      </w:r>
      <w:r w:rsidR="00A828B8" w:rsidRPr="00CD0996">
        <w:rPr>
          <w:spacing w:val="-4"/>
          <w:sz w:val="30"/>
          <w:szCs w:val="30"/>
        </w:rPr>
        <w:t xml:space="preserve">% от общего числа смертельно травмированных), </w:t>
      </w:r>
      <w:r w:rsidR="002D7F47" w:rsidRPr="00CD0996">
        <w:rPr>
          <w:spacing w:val="-4"/>
          <w:sz w:val="30"/>
          <w:szCs w:val="30"/>
        </w:rPr>
        <w:t>5</w:t>
      </w:r>
      <w:r w:rsidR="00AE7DC8" w:rsidRPr="00CD0996">
        <w:rPr>
          <w:spacing w:val="-4"/>
          <w:sz w:val="30"/>
          <w:szCs w:val="30"/>
        </w:rPr>
        <w:t>4</w:t>
      </w:r>
      <w:r w:rsidR="00A828B8" w:rsidRPr="00CD0996">
        <w:rPr>
          <w:spacing w:val="-4"/>
          <w:sz w:val="30"/>
          <w:szCs w:val="30"/>
        </w:rPr>
        <w:t xml:space="preserve"> человек</w:t>
      </w:r>
      <w:r w:rsidR="004F6704" w:rsidRPr="00CD0996">
        <w:rPr>
          <w:spacing w:val="-4"/>
          <w:sz w:val="30"/>
          <w:szCs w:val="30"/>
        </w:rPr>
        <w:t>а</w:t>
      </w:r>
      <w:r w:rsidR="00A828B8" w:rsidRPr="00CD0996">
        <w:rPr>
          <w:spacing w:val="-4"/>
          <w:sz w:val="30"/>
          <w:szCs w:val="30"/>
        </w:rPr>
        <w:t xml:space="preserve"> получил</w:t>
      </w:r>
      <w:r w:rsidR="004F6704" w:rsidRPr="00CD0996">
        <w:rPr>
          <w:spacing w:val="-4"/>
          <w:sz w:val="30"/>
          <w:szCs w:val="30"/>
        </w:rPr>
        <w:t>и</w:t>
      </w:r>
      <w:r w:rsidR="00A828B8" w:rsidRPr="00CD0996">
        <w:rPr>
          <w:spacing w:val="-4"/>
          <w:sz w:val="30"/>
          <w:szCs w:val="30"/>
        </w:rPr>
        <w:t xml:space="preserve"> тяжелые производственные травмы (</w:t>
      </w:r>
      <w:r w:rsidR="00A1028A" w:rsidRPr="00CD0996">
        <w:rPr>
          <w:spacing w:val="-4"/>
          <w:sz w:val="30"/>
          <w:szCs w:val="30"/>
        </w:rPr>
        <w:t>39,1</w:t>
      </w:r>
      <w:r w:rsidR="00A828B8" w:rsidRPr="00CD0996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CD0996">
        <w:rPr>
          <w:spacing w:val="-4"/>
          <w:sz w:val="30"/>
          <w:szCs w:val="30"/>
        </w:rPr>
        <w:t xml:space="preserve"> Из них при падении </w:t>
      </w:r>
      <w:r w:rsidR="00F65ED2" w:rsidRPr="00CD0996">
        <w:rPr>
          <w:spacing w:val="-4"/>
          <w:sz w:val="30"/>
          <w:szCs w:val="30"/>
        </w:rPr>
        <w:br/>
      </w:r>
      <w:r w:rsidR="00FB47CB" w:rsidRPr="00CD0996">
        <w:rPr>
          <w:spacing w:val="-4"/>
          <w:sz w:val="30"/>
          <w:szCs w:val="30"/>
        </w:rPr>
        <w:t xml:space="preserve">с высоты пострадало </w:t>
      </w:r>
      <w:r w:rsidR="002D7F47" w:rsidRPr="00CD0996">
        <w:rPr>
          <w:spacing w:val="-4"/>
          <w:sz w:val="30"/>
          <w:szCs w:val="30"/>
        </w:rPr>
        <w:t>40</w:t>
      </w:r>
      <w:r w:rsidR="00FB47CB" w:rsidRPr="00CD0996">
        <w:rPr>
          <w:spacing w:val="-4"/>
          <w:sz w:val="30"/>
          <w:szCs w:val="30"/>
        </w:rPr>
        <w:t xml:space="preserve"> человек </w:t>
      </w:r>
      <w:r w:rsidR="002D7F47" w:rsidRPr="00CD0996">
        <w:rPr>
          <w:spacing w:val="-4"/>
          <w:sz w:val="30"/>
          <w:szCs w:val="30"/>
        </w:rPr>
        <w:t>(7</w:t>
      </w:r>
      <w:r w:rsidR="00FB47CB" w:rsidRPr="00CD0996">
        <w:rPr>
          <w:spacing w:val="-4"/>
          <w:sz w:val="30"/>
          <w:szCs w:val="30"/>
        </w:rPr>
        <w:t xml:space="preserve"> погибл</w:t>
      </w:r>
      <w:r w:rsidR="003E394C" w:rsidRPr="00CD0996">
        <w:rPr>
          <w:spacing w:val="-4"/>
          <w:sz w:val="30"/>
          <w:szCs w:val="30"/>
        </w:rPr>
        <w:t>и</w:t>
      </w:r>
      <w:r w:rsidR="00F65ED2" w:rsidRPr="00CD0996">
        <w:rPr>
          <w:spacing w:val="-4"/>
          <w:sz w:val="30"/>
          <w:szCs w:val="30"/>
        </w:rPr>
        <w:t xml:space="preserve"> </w:t>
      </w:r>
      <w:r w:rsidR="00FB47CB" w:rsidRPr="00CD0996">
        <w:rPr>
          <w:spacing w:val="-4"/>
          <w:sz w:val="30"/>
          <w:szCs w:val="30"/>
        </w:rPr>
        <w:t xml:space="preserve">и </w:t>
      </w:r>
      <w:r w:rsidR="002D7F47" w:rsidRPr="00CD0996">
        <w:rPr>
          <w:spacing w:val="-4"/>
          <w:sz w:val="30"/>
          <w:szCs w:val="30"/>
        </w:rPr>
        <w:t>33</w:t>
      </w:r>
      <w:r w:rsidR="00FB47CB" w:rsidRPr="00CD0996">
        <w:rPr>
          <w:spacing w:val="-4"/>
          <w:sz w:val="30"/>
          <w:szCs w:val="30"/>
        </w:rPr>
        <w:t xml:space="preserve"> тяжело травмирован</w:t>
      </w:r>
      <w:r w:rsidR="003E394C" w:rsidRPr="00CD0996">
        <w:rPr>
          <w:spacing w:val="-4"/>
          <w:sz w:val="30"/>
          <w:szCs w:val="30"/>
        </w:rPr>
        <w:t>ы</w:t>
      </w:r>
      <w:r w:rsidR="00FB47CB" w:rsidRPr="00CD0996">
        <w:rPr>
          <w:spacing w:val="-4"/>
          <w:sz w:val="30"/>
          <w:szCs w:val="30"/>
        </w:rPr>
        <w:t>),</w:t>
      </w:r>
      <w:r w:rsidR="00A1028A" w:rsidRPr="00CD0996">
        <w:rPr>
          <w:spacing w:val="-4"/>
          <w:sz w:val="30"/>
          <w:szCs w:val="30"/>
        </w:rPr>
        <w:br/>
      </w:r>
      <w:r w:rsidR="00FB47CB" w:rsidRPr="00CD0996">
        <w:rPr>
          <w:spacing w:val="-4"/>
          <w:sz w:val="30"/>
          <w:szCs w:val="30"/>
        </w:rPr>
        <w:t>при падении при передвижении 1</w:t>
      </w:r>
      <w:r w:rsidR="00A1028A" w:rsidRPr="00CD0996">
        <w:rPr>
          <w:spacing w:val="-4"/>
          <w:sz w:val="30"/>
          <w:szCs w:val="30"/>
        </w:rPr>
        <w:t>9</w:t>
      </w:r>
      <w:r w:rsidR="00FB47CB" w:rsidRPr="00CD0996">
        <w:rPr>
          <w:spacing w:val="-4"/>
          <w:sz w:val="30"/>
          <w:szCs w:val="30"/>
        </w:rPr>
        <w:t xml:space="preserve"> человек получили тяжелые травмы,</w:t>
      </w:r>
      <w:r w:rsidR="0006240D" w:rsidRPr="00CD0996">
        <w:rPr>
          <w:spacing w:val="-4"/>
          <w:sz w:val="30"/>
          <w:szCs w:val="30"/>
        </w:rPr>
        <w:t xml:space="preserve"> </w:t>
      </w:r>
      <w:r w:rsidR="00AA2309" w:rsidRPr="00CD0996">
        <w:rPr>
          <w:spacing w:val="-4"/>
          <w:sz w:val="30"/>
          <w:szCs w:val="30"/>
        </w:rPr>
        <w:br/>
        <w:t xml:space="preserve">в результате падения в колодцы, ямы, траншеи, емкости </w:t>
      </w:r>
      <w:r w:rsidR="00A1028A" w:rsidRPr="00CD0996">
        <w:rPr>
          <w:spacing w:val="-4"/>
          <w:sz w:val="30"/>
          <w:szCs w:val="30"/>
        </w:rPr>
        <w:t>1</w:t>
      </w:r>
      <w:r w:rsidR="0006240D" w:rsidRPr="00CD0996">
        <w:rPr>
          <w:spacing w:val="-4"/>
          <w:sz w:val="30"/>
          <w:szCs w:val="30"/>
        </w:rPr>
        <w:t xml:space="preserve"> человек погиб</w:t>
      </w:r>
      <w:r w:rsidR="00A1028A" w:rsidRPr="00CD0996">
        <w:rPr>
          <w:spacing w:val="-4"/>
          <w:sz w:val="30"/>
          <w:szCs w:val="30"/>
        </w:rPr>
        <w:br/>
      </w:r>
      <w:r w:rsidR="007A4CC1" w:rsidRPr="00CD0996">
        <w:rPr>
          <w:spacing w:val="-4"/>
          <w:sz w:val="30"/>
          <w:szCs w:val="30"/>
        </w:rPr>
        <w:t xml:space="preserve">и </w:t>
      </w:r>
      <w:r w:rsidR="00511FEE" w:rsidRPr="00CD0996">
        <w:rPr>
          <w:spacing w:val="-4"/>
          <w:sz w:val="30"/>
          <w:szCs w:val="30"/>
        </w:rPr>
        <w:t>2</w:t>
      </w:r>
      <w:r w:rsidR="007A4CC1" w:rsidRPr="00CD0996">
        <w:rPr>
          <w:spacing w:val="-4"/>
          <w:sz w:val="30"/>
          <w:szCs w:val="30"/>
        </w:rPr>
        <w:t xml:space="preserve"> получил</w:t>
      </w:r>
      <w:r w:rsidR="00F65ED2" w:rsidRPr="00CD0996">
        <w:rPr>
          <w:spacing w:val="-4"/>
          <w:sz w:val="30"/>
          <w:szCs w:val="30"/>
        </w:rPr>
        <w:t>и</w:t>
      </w:r>
      <w:r w:rsidR="007A4CC1" w:rsidRPr="00CD0996">
        <w:rPr>
          <w:spacing w:val="-4"/>
          <w:sz w:val="30"/>
          <w:szCs w:val="30"/>
        </w:rPr>
        <w:t xml:space="preserve"> тяжел</w:t>
      </w:r>
      <w:r w:rsidR="00F65ED2" w:rsidRPr="00CD0996">
        <w:rPr>
          <w:spacing w:val="-4"/>
          <w:sz w:val="30"/>
          <w:szCs w:val="30"/>
        </w:rPr>
        <w:t>ые</w:t>
      </w:r>
      <w:r w:rsidR="007A4CC1" w:rsidRPr="00CD0996">
        <w:rPr>
          <w:spacing w:val="-4"/>
          <w:sz w:val="30"/>
          <w:szCs w:val="30"/>
        </w:rPr>
        <w:t xml:space="preserve"> травм</w:t>
      </w:r>
      <w:r w:rsidR="00F65ED2" w:rsidRPr="00CD0996">
        <w:rPr>
          <w:spacing w:val="-4"/>
          <w:sz w:val="30"/>
          <w:szCs w:val="30"/>
        </w:rPr>
        <w:t>ы.</w:t>
      </w:r>
    </w:p>
    <w:p w:rsidR="007A4CC1" w:rsidRPr="00CD0996" w:rsidRDefault="000735CC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К основным </w:t>
      </w:r>
      <w:r w:rsidR="00AA2309" w:rsidRPr="00CD0996">
        <w:rPr>
          <w:spacing w:val="-4"/>
          <w:sz w:val="30"/>
          <w:szCs w:val="30"/>
        </w:rPr>
        <w:t>видам происшествий</w:t>
      </w:r>
      <w:r w:rsidRPr="00CD0996">
        <w:rPr>
          <w:spacing w:val="-4"/>
          <w:sz w:val="30"/>
          <w:szCs w:val="30"/>
        </w:rPr>
        <w:t>, приведшим к несчастным случаям на производстве с тяжелыми последствиями, также следует отнести</w:t>
      </w:r>
      <w:r w:rsidR="007A4CC1" w:rsidRPr="00CD0996">
        <w:rPr>
          <w:spacing w:val="-4"/>
          <w:sz w:val="30"/>
          <w:szCs w:val="30"/>
        </w:rPr>
        <w:t>:</w:t>
      </w:r>
    </w:p>
    <w:p w:rsidR="00AA2309" w:rsidRPr="00CD0996" w:rsidRDefault="00AA2309" w:rsidP="00AA2309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– </w:t>
      </w:r>
      <w:r w:rsidR="00A1028A" w:rsidRPr="00CD0996">
        <w:rPr>
          <w:spacing w:val="-4"/>
          <w:sz w:val="30"/>
          <w:szCs w:val="30"/>
        </w:rPr>
        <w:t>3</w:t>
      </w:r>
      <w:r w:rsidRPr="00CD0996">
        <w:rPr>
          <w:spacing w:val="-4"/>
          <w:sz w:val="30"/>
          <w:szCs w:val="30"/>
        </w:rPr>
        <w:t xml:space="preserve"> человека погибл</w:t>
      </w:r>
      <w:r w:rsidR="00894D3A" w:rsidRPr="00CD0996">
        <w:rPr>
          <w:spacing w:val="-4"/>
          <w:sz w:val="30"/>
          <w:szCs w:val="30"/>
        </w:rPr>
        <w:t>и</w:t>
      </w:r>
      <w:r w:rsidR="00277038" w:rsidRPr="00CD0996">
        <w:rPr>
          <w:spacing w:val="-4"/>
          <w:sz w:val="30"/>
          <w:szCs w:val="30"/>
        </w:rPr>
        <w:t xml:space="preserve"> (</w:t>
      </w:r>
      <w:r w:rsidR="00C00A22" w:rsidRPr="00CD0996">
        <w:rPr>
          <w:spacing w:val="-4"/>
          <w:sz w:val="30"/>
          <w:szCs w:val="30"/>
        </w:rPr>
        <w:t>10</w:t>
      </w:r>
      <w:r w:rsidR="00277038" w:rsidRPr="00CD0996">
        <w:rPr>
          <w:spacing w:val="-4"/>
          <w:sz w:val="30"/>
          <w:szCs w:val="30"/>
        </w:rPr>
        <w:t>%)</w:t>
      </w:r>
      <w:r w:rsidRPr="00CD0996">
        <w:rPr>
          <w:spacing w:val="-4"/>
          <w:sz w:val="30"/>
          <w:szCs w:val="30"/>
        </w:rPr>
        <w:t xml:space="preserve">, </w:t>
      </w:r>
      <w:r w:rsidR="00A1028A" w:rsidRPr="00CD0996">
        <w:rPr>
          <w:spacing w:val="-4"/>
          <w:sz w:val="30"/>
          <w:szCs w:val="30"/>
        </w:rPr>
        <w:t>30</w:t>
      </w:r>
      <w:r w:rsidRPr="00CD0996">
        <w:rPr>
          <w:spacing w:val="-4"/>
          <w:sz w:val="30"/>
          <w:szCs w:val="30"/>
        </w:rPr>
        <w:t xml:space="preserve"> получил</w:t>
      </w:r>
      <w:r w:rsidR="00A1028A" w:rsidRPr="00CD0996">
        <w:rPr>
          <w:spacing w:val="-4"/>
          <w:sz w:val="30"/>
          <w:szCs w:val="30"/>
        </w:rPr>
        <w:t>и</w:t>
      </w:r>
      <w:r w:rsidRPr="00CD0996">
        <w:rPr>
          <w:spacing w:val="-4"/>
          <w:sz w:val="30"/>
          <w:szCs w:val="30"/>
        </w:rPr>
        <w:t xml:space="preserve"> тяжелые травмы</w:t>
      </w:r>
      <w:r w:rsidR="005A3805" w:rsidRPr="00CD0996">
        <w:rPr>
          <w:spacing w:val="-4"/>
          <w:sz w:val="30"/>
          <w:szCs w:val="30"/>
        </w:rPr>
        <w:br/>
      </w:r>
      <w:r w:rsidR="00277038" w:rsidRPr="00CD0996">
        <w:rPr>
          <w:spacing w:val="-4"/>
          <w:sz w:val="30"/>
          <w:szCs w:val="30"/>
        </w:rPr>
        <w:t>(2</w:t>
      </w:r>
      <w:r w:rsidR="00C00A22" w:rsidRPr="00CD0996">
        <w:rPr>
          <w:spacing w:val="-4"/>
          <w:sz w:val="30"/>
          <w:szCs w:val="30"/>
        </w:rPr>
        <w:t>1,7</w:t>
      </w:r>
      <w:r w:rsidR="00277038" w:rsidRPr="00CD0996">
        <w:rPr>
          <w:spacing w:val="-4"/>
          <w:sz w:val="30"/>
          <w:szCs w:val="30"/>
        </w:rPr>
        <w:t>%)</w:t>
      </w:r>
      <w:r w:rsidRPr="00CD0996">
        <w:rPr>
          <w:spacing w:val="-4"/>
          <w:sz w:val="30"/>
          <w:szCs w:val="30"/>
        </w:rPr>
        <w:t>;</w:t>
      </w:r>
    </w:p>
    <w:p w:rsidR="00301194" w:rsidRPr="00CD0996" w:rsidRDefault="00301194" w:rsidP="00301194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>дорожно-транспортные происшествия – 5 человек погибли (</w:t>
      </w:r>
      <w:r w:rsidR="00C00A22" w:rsidRPr="00CD0996">
        <w:rPr>
          <w:spacing w:val="-4"/>
          <w:sz w:val="30"/>
          <w:szCs w:val="30"/>
        </w:rPr>
        <w:t>16,7</w:t>
      </w:r>
      <w:r w:rsidRPr="00CD0996">
        <w:rPr>
          <w:spacing w:val="-4"/>
          <w:sz w:val="30"/>
          <w:szCs w:val="30"/>
        </w:rPr>
        <w:t xml:space="preserve">%), </w:t>
      </w:r>
      <w:r w:rsidRPr="00CD0996">
        <w:rPr>
          <w:spacing w:val="-4"/>
          <w:sz w:val="30"/>
          <w:szCs w:val="30"/>
        </w:rPr>
        <w:br/>
        <w:t>17 получили тяжелые травмы (</w:t>
      </w:r>
      <w:r w:rsidR="00C00A22" w:rsidRPr="00CD0996">
        <w:rPr>
          <w:spacing w:val="-4"/>
          <w:sz w:val="30"/>
          <w:szCs w:val="30"/>
        </w:rPr>
        <w:t>12,3</w:t>
      </w:r>
      <w:r w:rsidRPr="00CD0996">
        <w:rPr>
          <w:spacing w:val="-4"/>
          <w:sz w:val="30"/>
          <w:szCs w:val="30"/>
        </w:rPr>
        <w:t>%);</w:t>
      </w:r>
    </w:p>
    <w:p w:rsidR="007A4CC1" w:rsidRPr="00CD0996" w:rsidRDefault="00AA2309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падение, обрушение конструкций зданий и сооружений, обвалы предметов, материалов, грунта </w:t>
      </w:r>
      <w:r w:rsidR="007A4CC1" w:rsidRPr="00CD0996">
        <w:rPr>
          <w:spacing w:val="-4"/>
          <w:sz w:val="30"/>
          <w:szCs w:val="30"/>
        </w:rPr>
        <w:t xml:space="preserve">– </w:t>
      </w:r>
      <w:r w:rsidR="00A1028A" w:rsidRPr="00CD0996">
        <w:rPr>
          <w:spacing w:val="-4"/>
          <w:sz w:val="30"/>
          <w:szCs w:val="30"/>
        </w:rPr>
        <w:t>3</w:t>
      </w:r>
      <w:r w:rsidR="000735CC" w:rsidRPr="00CD0996">
        <w:rPr>
          <w:spacing w:val="-4"/>
          <w:sz w:val="30"/>
          <w:szCs w:val="30"/>
        </w:rPr>
        <w:t xml:space="preserve"> человек</w:t>
      </w:r>
      <w:r w:rsidR="00A1028A" w:rsidRPr="00CD0996">
        <w:rPr>
          <w:spacing w:val="-4"/>
          <w:sz w:val="30"/>
          <w:szCs w:val="30"/>
        </w:rPr>
        <w:t>а</w:t>
      </w:r>
      <w:r w:rsidR="000735CC" w:rsidRPr="00CD0996">
        <w:rPr>
          <w:spacing w:val="-4"/>
          <w:sz w:val="30"/>
          <w:szCs w:val="30"/>
        </w:rPr>
        <w:t xml:space="preserve"> погибл</w:t>
      </w:r>
      <w:r w:rsidR="00894D3A" w:rsidRPr="00CD0996">
        <w:rPr>
          <w:spacing w:val="-4"/>
          <w:sz w:val="30"/>
          <w:szCs w:val="30"/>
        </w:rPr>
        <w:t>и</w:t>
      </w:r>
      <w:r w:rsidR="00277038" w:rsidRPr="00CD0996">
        <w:rPr>
          <w:spacing w:val="-4"/>
          <w:sz w:val="30"/>
          <w:szCs w:val="30"/>
        </w:rPr>
        <w:t xml:space="preserve"> (</w:t>
      </w:r>
      <w:r w:rsidR="00C00A22" w:rsidRPr="00CD0996">
        <w:rPr>
          <w:spacing w:val="-4"/>
          <w:sz w:val="30"/>
          <w:szCs w:val="30"/>
        </w:rPr>
        <w:t>10</w:t>
      </w:r>
      <w:r w:rsidR="00277038" w:rsidRPr="00CD0996">
        <w:rPr>
          <w:spacing w:val="-4"/>
          <w:sz w:val="30"/>
          <w:szCs w:val="30"/>
        </w:rPr>
        <w:t>%)</w:t>
      </w:r>
      <w:r w:rsidR="00AF44E2" w:rsidRPr="00CD0996">
        <w:rPr>
          <w:spacing w:val="-4"/>
          <w:sz w:val="30"/>
          <w:szCs w:val="30"/>
        </w:rPr>
        <w:t>,</w:t>
      </w:r>
      <w:r w:rsidRPr="00CD0996">
        <w:rPr>
          <w:spacing w:val="-4"/>
          <w:sz w:val="30"/>
          <w:szCs w:val="30"/>
        </w:rPr>
        <w:t xml:space="preserve"> </w:t>
      </w:r>
      <w:r w:rsidR="000735CC" w:rsidRPr="00CD0996">
        <w:rPr>
          <w:spacing w:val="-4"/>
          <w:sz w:val="30"/>
          <w:szCs w:val="30"/>
        </w:rPr>
        <w:t>1</w:t>
      </w:r>
      <w:r w:rsidR="005A67EC" w:rsidRPr="00CD0996">
        <w:rPr>
          <w:spacing w:val="-4"/>
          <w:sz w:val="30"/>
          <w:szCs w:val="30"/>
        </w:rPr>
        <w:t>6</w:t>
      </w:r>
      <w:r w:rsidR="000735CC" w:rsidRPr="00CD0996">
        <w:rPr>
          <w:spacing w:val="-4"/>
          <w:sz w:val="30"/>
          <w:szCs w:val="30"/>
        </w:rPr>
        <w:t xml:space="preserve"> получили тяжелые травмы</w:t>
      </w:r>
      <w:r w:rsidR="00277038" w:rsidRPr="00CD0996">
        <w:rPr>
          <w:spacing w:val="-4"/>
          <w:sz w:val="30"/>
          <w:szCs w:val="30"/>
        </w:rPr>
        <w:t xml:space="preserve"> (1</w:t>
      </w:r>
      <w:r w:rsidR="00C00A22" w:rsidRPr="00CD0996">
        <w:rPr>
          <w:spacing w:val="-4"/>
          <w:sz w:val="30"/>
          <w:szCs w:val="30"/>
        </w:rPr>
        <w:t>1</w:t>
      </w:r>
      <w:r w:rsidR="00277038" w:rsidRPr="00CD0996">
        <w:rPr>
          <w:spacing w:val="-4"/>
          <w:sz w:val="30"/>
          <w:szCs w:val="30"/>
        </w:rPr>
        <w:t>,</w:t>
      </w:r>
      <w:r w:rsidR="00C00A22" w:rsidRPr="00CD0996">
        <w:rPr>
          <w:spacing w:val="-4"/>
          <w:sz w:val="30"/>
          <w:szCs w:val="30"/>
        </w:rPr>
        <w:t>6</w:t>
      </w:r>
      <w:r w:rsidR="00277038" w:rsidRPr="00CD0996">
        <w:rPr>
          <w:spacing w:val="-4"/>
          <w:sz w:val="30"/>
          <w:szCs w:val="30"/>
        </w:rPr>
        <w:t>%)</w:t>
      </w:r>
      <w:r w:rsidR="007A4CC1" w:rsidRPr="00CD0996">
        <w:rPr>
          <w:spacing w:val="-4"/>
          <w:sz w:val="30"/>
          <w:szCs w:val="30"/>
        </w:rPr>
        <w:t>;</w:t>
      </w:r>
    </w:p>
    <w:p w:rsidR="00AA2309" w:rsidRPr="00CD0996" w:rsidRDefault="00AA2309" w:rsidP="00AA2309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>телесные повреждения, нанесенные животными</w:t>
      </w:r>
      <w:r w:rsidR="000D4DB4" w:rsidRPr="00CD0996">
        <w:rPr>
          <w:spacing w:val="-4"/>
          <w:sz w:val="30"/>
          <w:szCs w:val="30"/>
        </w:rPr>
        <w:t>,</w:t>
      </w:r>
      <w:r w:rsidRPr="00CD0996">
        <w:rPr>
          <w:spacing w:val="-4"/>
          <w:sz w:val="30"/>
          <w:szCs w:val="30"/>
        </w:rPr>
        <w:t xml:space="preserve"> – 1 человек погиб</w:t>
      </w:r>
      <w:r w:rsidR="005A3805" w:rsidRPr="00CD0996">
        <w:rPr>
          <w:spacing w:val="-4"/>
          <w:sz w:val="30"/>
          <w:szCs w:val="30"/>
        </w:rPr>
        <w:br/>
      </w:r>
      <w:r w:rsidR="00277038" w:rsidRPr="00CD0996">
        <w:rPr>
          <w:spacing w:val="-4"/>
          <w:sz w:val="30"/>
          <w:szCs w:val="30"/>
        </w:rPr>
        <w:t>(</w:t>
      </w:r>
      <w:r w:rsidR="00C00A22" w:rsidRPr="00CD0996">
        <w:rPr>
          <w:spacing w:val="-4"/>
          <w:sz w:val="30"/>
          <w:szCs w:val="30"/>
        </w:rPr>
        <w:t>3,3</w:t>
      </w:r>
      <w:r w:rsidR="00277038" w:rsidRPr="00CD0996">
        <w:rPr>
          <w:spacing w:val="-4"/>
          <w:sz w:val="30"/>
          <w:szCs w:val="30"/>
        </w:rPr>
        <w:t>%)</w:t>
      </w:r>
      <w:r w:rsidRPr="00CD0996">
        <w:rPr>
          <w:spacing w:val="-4"/>
          <w:sz w:val="30"/>
          <w:szCs w:val="30"/>
        </w:rPr>
        <w:t>,</w:t>
      </w:r>
      <w:r w:rsidR="00277038" w:rsidRPr="00CD0996">
        <w:rPr>
          <w:spacing w:val="-4"/>
          <w:sz w:val="30"/>
          <w:szCs w:val="30"/>
        </w:rPr>
        <w:t xml:space="preserve"> </w:t>
      </w:r>
      <w:r w:rsidR="00301194" w:rsidRPr="00CD0996">
        <w:rPr>
          <w:spacing w:val="-4"/>
          <w:sz w:val="30"/>
          <w:szCs w:val="30"/>
        </w:rPr>
        <w:t>9</w:t>
      </w:r>
      <w:r w:rsidRPr="00CD0996">
        <w:rPr>
          <w:spacing w:val="-4"/>
          <w:sz w:val="30"/>
          <w:szCs w:val="30"/>
        </w:rPr>
        <w:t xml:space="preserve"> получили тяжелые травмы</w:t>
      </w:r>
      <w:r w:rsidR="00277038" w:rsidRPr="00CD0996">
        <w:rPr>
          <w:spacing w:val="-4"/>
          <w:sz w:val="30"/>
          <w:szCs w:val="30"/>
        </w:rPr>
        <w:t xml:space="preserve"> (</w:t>
      </w:r>
      <w:r w:rsidR="00856F9F" w:rsidRPr="00CD0996">
        <w:rPr>
          <w:spacing w:val="-4"/>
          <w:sz w:val="30"/>
          <w:szCs w:val="30"/>
        </w:rPr>
        <w:t>6,</w:t>
      </w:r>
      <w:r w:rsidR="005A67EC" w:rsidRPr="00CD0996">
        <w:rPr>
          <w:spacing w:val="-4"/>
          <w:sz w:val="30"/>
          <w:szCs w:val="30"/>
        </w:rPr>
        <w:t>5</w:t>
      </w:r>
      <w:r w:rsidR="00277038" w:rsidRPr="00CD0996">
        <w:rPr>
          <w:spacing w:val="-4"/>
          <w:sz w:val="30"/>
          <w:szCs w:val="30"/>
        </w:rPr>
        <w:t>%)</w:t>
      </w:r>
      <w:r w:rsidR="00301194" w:rsidRPr="00CD0996">
        <w:rPr>
          <w:spacing w:val="-4"/>
          <w:sz w:val="30"/>
          <w:szCs w:val="30"/>
        </w:rPr>
        <w:t>;</w:t>
      </w:r>
    </w:p>
    <w:p w:rsidR="00301194" w:rsidRPr="00CD0996" w:rsidRDefault="00301194" w:rsidP="00301194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>прочие транспортные происшествия – 5 человек погибли (</w:t>
      </w:r>
      <w:r w:rsidR="00856F9F" w:rsidRPr="00CD0996">
        <w:rPr>
          <w:spacing w:val="-4"/>
          <w:sz w:val="30"/>
          <w:szCs w:val="30"/>
        </w:rPr>
        <w:t>16,7</w:t>
      </w:r>
      <w:r w:rsidRPr="00CD0996">
        <w:rPr>
          <w:spacing w:val="-4"/>
          <w:sz w:val="30"/>
          <w:szCs w:val="30"/>
        </w:rPr>
        <w:t>%),</w:t>
      </w:r>
      <w:r w:rsidR="00856F9F" w:rsidRPr="00CD0996">
        <w:rPr>
          <w:spacing w:val="-4"/>
          <w:sz w:val="30"/>
          <w:szCs w:val="30"/>
        </w:rPr>
        <w:br/>
      </w:r>
      <w:r w:rsidRPr="00CD0996">
        <w:rPr>
          <w:spacing w:val="-4"/>
          <w:sz w:val="30"/>
          <w:szCs w:val="30"/>
        </w:rPr>
        <w:t>4 получили тяжелые травмы (</w:t>
      </w:r>
      <w:r w:rsidR="00856F9F" w:rsidRPr="00CD0996">
        <w:rPr>
          <w:spacing w:val="-4"/>
          <w:sz w:val="30"/>
          <w:szCs w:val="30"/>
        </w:rPr>
        <w:t>2,9</w:t>
      </w:r>
      <w:r w:rsidRPr="00CD0996">
        <w:rPr>
          <w:spacing w:val="-4"/>
          <w:sz w:val="30"/>
          <w:szCs w:val="30"/>
        </w:rPr>
        <w:t>%).</w:t>
      </w:r>
    </w:p>
    <w:p w:rsidR="00A1028A" w:rsidRDefault="00C00A22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lastRenderedPageBreak/>
        <w:t xml:space="preserve">По одному человеку погибло в результате поражения электрическим током, утопления и асфиксии, в двух случаях к гибели привели иные происшествия. </w:t>
      </w:r>
      <w:r w:rsidR="00301194" w:rsidRPr="00CD0996">
        <w:rPr>
          <w:spacing w:val="-4"/>
          <w:sz w:val="30"/>
          <w:szCs w:val="30"/>
        </w:rPr>
        <w:t>В результате воздействия вредных веществ 4 человека получили тяжелые травмы</w:t>
      </w:r>
      <w:r w:rsidR="003D2149" w:rsidRPr="00CD0996">
        <w:rPr>
          <w:spacing w:val="-4"/>
          <w:sz w:val="30"/>
          <w:szCs w:val="30"/>
        </w:rPr>
        <w:t>,</w:t>
      </w:r>
      <w:r w:rsidR="00301194" w:rsidRPr="00CD0996">
        <w:rPr>
          <w:spacing w:val="-4"/>
          <w:sz w:val="30"/>
          <w:szCs w:val="30"/>
        </w:rPr>
        <w:t xml:space="preserve"> </w:t>
      </w:r>
      <w:r w:rsidR="003D2149" w:rsidRPr="00CD0996">
        <w:rPr>
          <w:spacing w:val="-4"/>
          <w:sz w:val="30"/>
          <w:szCs w:val="30"/>
        </w:rPr>
        <w:t>2 человека тяжело травмировано в результате умышленного нанесения травмы другим лицом, по одному человеку –</w:t>
      </w:r>
      <w:r w:rsidR="00856F9F" w:rsidRPr="00CD0996">
        <w:rPr>
          <w:spacing w:val="-4"/>
          <w:sz w:val="30"/>
          <w:szCs w:val="30"/>
        </w:rPr>
        <w:br/>
      </w:r>
      <w:r w:rsidR="003D2149" w:rsidRPr="00CD0996">
        <w:rPr>
          <w:spacing w:val="-4"/>
          <w:sz w:val="30"/>
          <w:szCs w:val="30"/>
        </w:rPr>
        <w:t>в результате отравлени</w:t>
      </w:r>
      <w:r w:rsidRPr="00CD0996">
        <w:rPr>
          <w:spacing w:val="-4"/>
          <w:sz w:val="30"/>
          <w:szCs w:val="30"/>
        </w:rPr>
        <w:t>я</w:t>
      </w:r>
      <w:r w:rsidR="003D2149" w:rsidRPr="00CD0996">
        <w:rPr>
          <w:spacing w:val="-4"/>
          <w:sz w:val="30"/>
          <w:szCs w:val="30"/>
        </w:rPr>
        <w:t xml:space="preserve"> веществами, не используемыми в технологическом процессе и пожаре.</w:t>
      </w:r>
    </w:p>
    <w:p w:rsidR="00F0263A" w:rsidRPr="00CD0996" w:rsidRDefault="00F0263A" w:rsidP="000735CC">
      <w:pPr>
        <w:ind w:firstLine="709"/>
        <w:rPr>
          <w:spacing w:val="-4"/>
          <w:sz w:val="30"/>
          <w:szCs w:val="30"/>
        </w:rPr>
      </w:pPr>
    </w:p>
    <w:p w:rsidR="00AF44E2" w:rsidRPr="00CD0996" w:rsidRDefault="00AF44E2" w:rsidP="00284440">
      <w:pPr>
        <w:jc w:val="center"/>
        <w:rPr>
          <w:spacing w:val="-4"/>
          <w:sz w:val="30"/>
          <w:szCs w:val="30"/>
        </w:rPr>
      </w:pPr>
      <w:r w:rsidRPr="00CD0996">
        <w:rPr>
          <w:noProof/>
          <w:lang w:eastAsia="ru-RU"/>
        </w:rPr>
        <w:drawing>
          <wp:inline distT="0" distB="0" distL="0" distR="0" wp14:anchorId="5926A1BF" wp14:editId="3A180D28">
            <wp:extent cx="6163734" cy="4049485"/>
            <wp:effectExtent l="0" t="0" r="8890" b="8255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A0957" w:rsidRPr="00CD0996" w:rsidRDefault="005A0957" w:rsidP="005A095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9E4EEC" w:rsidRPr="00CD099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В состоянии алкогольного опьянения находились 13 человек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br/>
        <w:t>(2024 год – 19), из них 3 человека погибли, 6 получили тяжелые производственные травмы.</w:t>
      </w:r>
    </w:p>
    <w:p w:rsidR="00175892" w:rsidRPr="00CD0996" w:rsidRDefault="00272384" w:rsidP="002F2AFE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>. В 202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г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находились </w:t>
      </w:r>
      <w:r w:rsidR="00A60167" w:rsidRPr="00CD0996">
        <w:rPr>
          <w:rFonts w:eastAsia="Times New Roman"/>
          <w:i/>
          <w:spacing w:val="-4"/>
          <w:sz w:val="30"/>
          <w:szCs w:val="30"/>
          <w:lang w:eastAsia="ru-RU"/>
        </w:rPr>
        <w:t>6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23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на производстве, а также 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9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117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9E4EEC" w:rsidRPr="00CD099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Из 3 погибших, находившихся при несчастном случае в состоянии алкогольного опьянения: </w:t>
      </w:r>
    </w:p>
    <w:p w:rsidR="008E0AD4" w:rsidRPr="00CD099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1 человек – работник организации коммунальной формы собственности (рабочий по уходу за животными сельскохозяйственного унитарного предприятия «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Щавры-агро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>» Крупского района – 0,43 промилле)</w:t>
      </w:r>
      <w:r w:rsidR="008E0AD4" w:rsidRPr="00CD0996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8E0AD4" w:rsidRPr="00CD0996" w:rsidRDefault="008E0AD4" w:rsidP="008E0AD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2 человека – работники организаций без ведомственной подчиненности (заместитель директора по коммерческим вопросам</w:t>
      </w:r>
      <w:r w:rsidR="002F60A6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Pr="00CD0996">
        <w:rPr>
          <w:rFonts w:eastAsia="Times New Roman"/>
          <w:spacing w:val="-4"/>
          <w:sz w:val="30"/>
          <w:szCs w:val="30"/>
          <w:lang w:eastAsia="ru-RU"/>
        </w:rPr>
        <w:t>ООО «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Вармхаусгрупп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>» Борисовского района – 1,2 промилле, водитель автомобиля ООО «</w:t>
      </w:r>
      <w:proofErr w:type="spellStart"/>
      <w:r w:rsidRPr="00CD0996">
        <w:rPr>
          <w:rFonts w:eastAsia="Times New Roman"/>
          <w:spacing w:val="-4"/>
          <w:sz w:val="30"/>
          <w:szCs w:val="30"/>
          <w:lang w:eastAsia="ru-RU"/>
        </w:rPr>
        <w:t>Рандерс</w:t>
      </w:r>
      <w:proofErr w:type="spellEnd"/>
      <w:r w:rsidRPr="00CD0996">
        <w:rPr>
          <w:rFonts w:eastAsia="Times New Roman"/>
          <w:spacing w:val="-4"/>
          <w:sz w:val="30"/>
          <w:szCs w:val="30"/>
          <w:lang w:eastAsia="ru-RU"/>
        </w:rPr>
        <w:t>» Минского района – 0,52 промилле).</w:t>
      </w:r>
    </w:p>
    <w:p w:rsidR="008E0AD4" w:rsidRPr="00CD0996" w:rsidRDefault="008E0AD4" w:rsidP="008E0AD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состоянии алкогольного опьянения получили травмы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br/>
        <w:t>с тяжелым исходом:</w:t>
      </w:r>
    </w:p>
    <w:p w:rsidR="003632DE" w:rsidRPr="00CD0996" w:rsidRDefault="00F20260" w:rsidP="003632DE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z w:val="30"/>
          <w:szCs w:val="30"/>
          <w:lang w:eastAsia="ru-RU"/>
        </w:rPr>
        <w:t>2</w:t>
      </w:r>
      <w:r w:rsidR="00F079B7" w:rsidRPr="00CD0996">
        <w:rPr>
          <w:rFonts w:eastAsia="Times New Roman"/>
          <w:sz w:val="30"/>
          <w:szCs w:val="30"/>
          <w:lang w:eastAsia="ru-RU"/>
        </w:rPr>
        <w:t> </w:t>
      </w:r>
      <w:r w:rsidR="00272384" w:rsidRPr="00CD0996">
        <w:rPr>
          <w:rFonts w:eastAsia="Times New Roman"/>
          <w:sz w:val="30"/>
          <w:szCs w:val="30"/>
          <w:lang w:eastAsia="ru-RU"/>
        </w:rPr>
        <w:t>человека – работники организаций республиканской формы собственности</w:t>
      </w:r>
      <w:r w:rsidR="0013558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z w:val="30"/>
          <w:szCs w:val="30"/>
          <w:lang w:eastAsia="ru-RU"/>
        </w:rPr>
        <w:t>(</w:t>
      </w:r>
      <w:r w:rsidR="005C39FC" w:rsidRPr="00CD0996">
        <w:rPr>
          <w:rFonts w:eastAsia="Times New Roman"/>
          <w:sz w:val="30"/>
          <w:szCs w:val="30"/>
          <w:lang w:eastAsia="ru-RU"/>
        </w:rPr>
        <w:t>водитель автомобиля Березинского филиала Минского областного потребительского общества</w:t>
      </w:r>
      <w:r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CD0996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="003632DE" w:rsidRPr="00CD0996">
        <w:rPr>
          <w:rFonts w:eastAsia="Times New Roman"/>
          <w:sz w:val="30"/>
          <w:szCs w:val="30"/>
          <w:lang w:eastAsia="ru-RU"/>
        </w:rPr>
        <w:br/>
      </w:r>
      <w:r w:rsidR="0001205B" w:rsidRPr="00CD0996">
        <w:rPr>
          <w:rFonts w:eastAsia="Times New Roman"/>
          <w:sz w:val="30"/>
          <w:szCs w:val="30"/>
          <w:lang w:eastAsia="ru-RU"/>
        </w:rPr>
        <w:t xml:space="preserve">в крови </w:t>
      </w:r>
      <w:r w:rsidRPr="00CD0996">
        <w:rPr>
          <w:rFonts w:eastAsia="Times New Roman"/>
          <w:sz w:val="30"/>
          <w:szCs w:val="30"/>
          <w:lang w:eastAsia="ru-RU"/>
        </w:rPr>
        <w:t>0</w:t>
      </w:r>
      <w:r w:rsidR="005C39FC" w:rsidRPr="00CD0996">
        <w:rPr>
          <w:rFonts w:eastAsia="Times New Roman"/>
          <w:sz w:val="30"/>
          <w:szCs w:val="30"/>
          <w:lang w:eastAsia="ru-RU"/>
        </w:rPr>
        <w:t>,66</w:t>
      </w:r>
      <w:r w:rsidR="0001205B" w:rsidRPr="00CD0996">
        <w:rPr>
          <w:rFonts w:eastAsia="Times New Roman"/>
          <w:sz w:val="30"/>
          <w:szCs w:val="30"/>
          <w:lang w:eastAsia="ru-RU"/>
        </w:rPr>
        <w:t xml:space="preserve"> промилле</w:t>
      </w:r>
      <w:r w:rsidR="000F658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z w:val="30"/>
          <w:szCs w:val="30"/>
          <w:lang w:eastAsia="ru-RU"/>
        </w:rPr>
        <w:t xml:space="preserve">и </w:t>
      </w:r>
      <w:r w:rsidR="005C39FC" w:rsidRPr="00CD0996">
        <w:rPr>
          <w:rFonts w:eastAsia="Times New Roman"/>
          <w:sz w:val="30"/>
          <w:szCs w:val="30"/>
          <w:lang w:eastAsia="ru-RU"/>
        </w:rPr>
        <w:t>облицовщик-плиточник</w:t>
      </w:r>
      <w:r w:rsidR="000F658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5C39FC" w:rsidRPr="00CD0996">
        <w:rPr>
          <w:rFonts w:eastAsia="Times New Roman"/>
          <w:sz w:val="30"/>
          <w:szCs w:val="30"/>
          <w:lang w:eastAsia="ru-RU"/>
        </w:rPr>
        <w:t>ОАО «</w:t>
      </w:r>
      <w:proofErr w:type="spellStart"/>
      <w:r w:rsidR="005C39FC" w:rsidRPr="00CD0996">
        <w:rPr>
          <w:rFonts w:eastAsia="Times New Roman"/>
          <w:sz w:val="30"/>
          <w:szCs w:val="30"/>
          <w:lang w:eastAsia="ru-RU"/>
        </w:rPr>
        <w:t>Св</w:t>
      </w:r>
      <w:proofErr w:type="gramStart"/>
      <w:r w:rsidR="005C39FC" w:rsidRPr="00CD0996">
        <w:rPr>
          <w:rFonts w:eastAsia="Times New Roman"/>
          <w:sz w:val="30"/>
          <w:szCs w:val="30"/>
          <w:lang w:eastAsia="ru-RU"/>
        </w:rPr>
        <w:t>i</w:t>
      </w:r>
      <w:proofErr w:type="gramEnd"/>
      <w:r w:rsidR="005C39FC" w:rsidRPr="00CD0996">
        <w:rPr>
          <w:rFonts w:eastAsia="Times New Roman"/>
          <w:sz w:val="30"/>
          <w:szCs w:val="30"/>
          <w:lang w:eastAsia="ru-RU"/>
        </w:rPr>
        <w:t>танак</w:t>
      </w:r>
      <w:proofErr w:type="spellEnd"/>
      <w:r w:rsidR="005C39FC" w:rsidRPr="00CD0996">
        <w:rPr>
          <w:rFonts w:eastAsia="Times New Roman"/>
          <w:sz w:val="30"/>
          <w:szCs w:val="30"/>
          <w:lang w:eastAsia="ru-RU"/>
        </w:rPr>
        <w:t>»</w:t>
      </w:r>
      <w:r w:rsidR="003632DE" w:rsidRPr="00CD0996">
        <w:rPr>
          <w:rFonts w:eastAsia="Times New Roman"/>
          <w:sz w:val="30"/>
          <w:szCs w:val="30"/>
          <w:lang w:eastAsia="ru-RU"/>
        </w:rPr>
        <w:br/>
      </w:r>
      <w:r w:rsidR="000F6582" w:rsidRPr="00CD0996">
        <w:rPr>
          <w:rFonts w:eastAsia="Times New Roman"/>
          <w:sz w:val="30"/>
          <w:szCs w:val="30"/>
          <w:lang w:eastAsia="ru-RU"/>
        </w:rPr>
        <w:t>г. Жодино</w:t>
      </w:r>
      <w:r w:rsidR="005C39FC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z w:val="30"/>
          <w:szCs w:val="30"/>
          <w:lang w:eastAsia="ru-RU"/>
        </w:rPr>
        <w:t>–</w:t>
      </w:r>
      <w:r w:rsidR="005C39FC" w:rsidRPr="00CD0996">
        <w:rPr>
          <w:rFonts w:eastAsia="Times New Roman"/>
          <w:sz w:val="30"/>
          <w:szCs w:val="30"/>
          <w:lang w:eastAsia="ru-RU"/>
        </w:rPr>
        <w:t xml:space="preserve"> 1,21</w:t>
      </w:r>
      <w:r w:rsidR="00272384" w:rsidRPr="00CD0996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CD0996">
        <w:rPr>
          <w:rFonts w:eastAsia="Times New Roman"/>
          <w:sz w:val="30"/>
          <w:szCs w:val="30"/>
          <w:lang w:eastAsia="ru-RU"/>
        </w:rPr>
        <w:t>;</w:t>
      </w:r>
    </w:p>
    <w:p w:rsidR="00F20260" w:rsidRPr="00CD0996" w:rsidRDefault="008E0AD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CD0996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CD0996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pacing w:val="6"/>
          <w:sz w:val="30"/>
          <w:szCs w:val="30"/>
          <w:lang w:eastAsia="ru-RU"/>
        </w:rPr>
        <w:t>(</w:t>
      </w:r>
      <w:r w:rsidR="003632DE" w:rsidRPr="00CD0996">
        <w:rPr>
          <w:rFonts w:eastAsia="Times New Roman"/>
          <w:spacing w:val="6"/>
          <w:sz w:val="30"/>
          <w:szCs w:val="30"/>
          <w:lang w:eastAsia="ru-RU"/>
        </w:rPr>
        <w:t>каменщик</w:t>
      </w:r>
      <w:r w:rsidR="003632DE" w:rsidRPr="00CD0996">
        <w:rPr>
          <w:rFonts w:eastAsia="Times New Roman"/>
          <w:sz w:val="20"/>
          <w:szCs w:val="20"/>
          <w:lang w:eastAsia="ru-RU"/>
        </w:rPr>
        <w:t xml:space="preserve"> </w:t>
      </w:r>
      <w:r w:rsidR="003632DE" w:rsidRPr="00CD0996">
        <w:rPr>
          <w:rFonts w:eastAsia="Times New Roman"/>
          <w:spacing w:val="6"/>
          <w:sz w:val="30"/>
          <w:szCs w:val="30"/>
          <w:lang w:eastAsia="ru-RU"/>
        </w:rPr>
        <w:t>СУ № 95 ОАО «Стройтрест № 3 Ордена Октябрьской революции» Солигорского района – 2,02 промилле</w:t>
      </w:r>
      <w:r w:rsidR="003632DE" w:rsidRPr="00CD0996">
        <w:rPr>
          <w:rFonts w:eastAsia="Times New Roman"/>
          <w:spacing w:val="6"/>
          <w:sz w:val="30"/>
          <w:szCs w:val="30"/>
          <w:lang w:eastAsia="ru-RU"/>
        </w:rPr>
        <w:br/>
        <w:t xml:space="preserve">и </w:t>
      </w:r>
      <w:r w:rsidR="00F20260" w:rsidRPr="00CD0996">
        <w:rPr>
          <w:rFonts w:eastAsia="Times New Roman"/>
          <w:sz w:val="30"/>
          <w:szCs w:val="30"/>
          <w:lang w:eastAsia="ru-RU"/>
        </w:rPr>
        <w:t>тракторист-машинист сельскохозяйственного производства</w:t>
      </w:r>
      <w:r w:rsidR="003632DE" w:rsidRPr="00CD0996">
        <w:rPr>
          <w:rFonts w:eastAsia="Times New Roman"/>
          <w:sz w:val="30"/>
          <w:szCs w:val="30"/>
          <w:lang w:eastAsia="ru-RU"/>
        </w:rPr>
        <w:br/>
      </w:r>
      <w:r w:rsidR="00F20260" w:rsidRPr="00CD0996">
        <w:rPr>
          <w:rFonts w:eastAsia="Times New Roman"/>
          <w:sz w:val="30"/>
          <w:szCs w:val="30"/>
          <w:lang w:eastAsia="ru-RU"/>
        </w:rPr>
        <w:t>ОАО «Рубежевичи»</w:t>
      </w:r>
      <w:r w:rsidR="00BE20FC" w:rsidRPr="00CD0996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="00BE20FC" w:rsidRPr="00CD0996">
        <w:rPr>
          <w:rFonts w:eastAsia="Times New Roman"/>
          <w:sz w:val="30"/>
          <w:szCs w:val="30"/>
          <w:lang w:eastAsia="ru-RU"/>
        </w:rPr>
        <w:t>Столбцовского</w:t>
      </w:r>
      <w:proofErr w:type="spellEnd"/>
      <w:r w:rsidR="00BE20FC" w:rsidRPr="00CD0996">
        <w:rPr>
          <w:rFonts w:eastAsia="Times New Roman"/>
          <w:sz w:val="30"/>
          <w:szCs w:val="30"/>
          <w:lang w:eastAsia="ru-RU"/>
        </w:rPr>
        <w:t xml:space="preserve"> района</w:t>
      </w:r>
      <w:r w:rsidR="00F20260" w:rsidRPr="00CD0996">
        <w:rPr>
          <w:rFonts w:eastAsia="Times New Roman"/>
          <w:sz w:val="30"/>
          <w:szCs w:val="30"/>
          <w:lang w:eastAsia="ru-RU"/>
        </w:rPr>
        <w:t xml:space="preserve"> – 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3632DE" w:rsidRPr="00CD0996" w:rsidRDefault="003632DE" w:rsidP="003632D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CD0996">
        <w:rPr>
          <w:rFonts w:eastAsia="Times New Roman"/>
          <w:spacing w:val="6"/>
          <w:sz w:val="30"/>
          <w:szCs w:val="30"/>
          <w:lang w:eastAsia="ru-RU"/>
        </w:rPr>
        <w:t> 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>человек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а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 xml:space="preserve"> – работник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и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 xml:space="preserve"> организаци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й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 w:rsidR="008F1966" w:rsidRPr="00CD0996">
        <w:rPr>
          <w:rFonts w:eastAsia="Times New Roman"/>
          <w:spacing w:val="6"/>
          <w:sz w:val="30"/>
          <w:szCs w:val="30"/>
          <w:lang w:eastAsia="ru-RU"/>
        </w:rPr>
        <w:t>(</w:t>
      </w:r>
      <w:r w:rsidR="008F1966" w:rsidRPr="00CD0996">
        <w:rPr>
          <w:rFonts w:eastAsia="Times New Roman"/>
          <w:sz w:val="30"/>
          <w:szCs w:val="30"/>
          <w:lang w:eastAsia="ru-RU"/>
        </w:rPr>
        <w:t>подсобный рабочий</w:t>
      </w:r>
      <w:r w:rsidR="006D08BF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8F1966" w:rsidRPr="00CD0996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="008F1966" w:rsidRPr="00CD0996">
        <w:rPr>
          <w:rFonts w:eastAsia="Times New Roman"/>
          <w:sz w:val="30"/>
          <w:szCs w:val="30"/>
          <w:lang w:eastAsia="ru-RU"/>
        </w:rPr>
        <w:t>Сивора</w:t>
      </w:r>
      <w:proofErr w:type="spellEnd"/>
      <w:r w:rsidR="008F1966" w:rsidRPr="00CD0996">
        <w:rPr>
          <w:rFonts w:eastAsia="Times New Roman"/>
          <w:sz w:val="30"/>
          <w:szCs w:val="30"/>
          <w:lang w:eastAsia="ru-RU"/>
        </w:rPr>
        <w:t xml:space="preserve">» </w:t>
      </w:r>
      <w:r w:rsidR="006D08BF" w:rsidRPr="00CD0996">
        <w:rPr>
          <w:rFonts w:eastAsia="Times New Roman"/>
          <w:sz w:val="30"/>
          <w:szCs w:val="30"/>
          <w:lang w:eastAsia="ru-RU"/>
        </w:rPr>
        <w:t xml:space="preserve">Минского района </w:t>
      </w:r>
      <w:r w:rsidR="008F1966" w:rsidRPr="00CD0996">
        <w:rPr>
          <w:rFonts w:eastAsia="Times New Roman"/>
          <w:sz w:val="30"/>
          <w:szCs w:val="30"/>
          <w:lang w:eastAsia="ru-RU"/>
        </w:rPr>
        <w:t>–</w:t>
      </w:r>
      <w:r w:rsidR="006D08BF" w:rsidRPr="00CD0996">
        <w:rPr>
          <w:rFonts w:eastAsia="Times New Roman"/>
          <w:sz w:val="30"/>
          <w:szCs w:val="30"/>
          <w:lang w:eastAsia="ru-RU"/>
        </w:rPr>
        <w:br/>
      </w:r>
      <w:r w:rsidR="008F1966" w:rsidRPr="00CD0996">
        <w:rPr>
          <w:rFonts w:eastAsia="Times New Roman"/>
          <w:sz w:val="30"/>
          <w:szCs w:val="30"/>
          <w:lang w:eastAsia="ru-RU"/>
        </w:rPr>
        <w:t>0,72 промилле</w:t>
      </w:r>
      <w:r w:rsidRPr="00CD0996">
        <w:rPr>
          <w:rFonts w:eastAsia="Times New Roman"/>
          <w:sz w:val="30"/>
          <w:szCs w:val="30"/>
          <w:lang w:eastAsia="ru-RU"/>
        </w:rPr>
        <w:t xml:space="preserve"> и гражданин, работающий без оформления трудовых отношений с</w:t>
      </w:r>
      <w:r w:rsidRPr="00CD0996">
        <w:rPr>
          <w:rFonts w:eastAsia="Times New Roman"/>
          <w:sz w:val="20"/>
          <w:szCs w:val="2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CD0996">
        <w:rPr>
          <w:rFonts w:eastAsia="Times New Roman"/>
          <w:sz w:val="30"/>
          <w:szCs w:val="30"/>
          <w:lang w:eastAsia="ru-RU"/>
        </w:rPr>
        <w:t>Солстройкомплект</w:t>
      </w:r>
      <w:proofErr w:type="spellEnd"/>
      <w:r w:rsidRPr="00CD0996">
        <w:rPr>
          <w:rFonts w:eastAsia="Times New Roman"/>
          <w:sz w:val="30"/>
          <w:szCs w:val="30"/>
          <w:lang w:eastAsia="ru-RU"/>
        </w:rPr>
        <w:t>» Солигорского района –</w:t>
      </w:r>
      <w:r w:rsidRPr="00CD0996">
        <w:rPr>
          <w:rFonts w:eastAsia="Times New Roman"/>
          <w:sz w:val="30"/>
          <w:szCs w:val="30"/>
          <w:lang w:eastAsia="ru-RU"/>
        </w:rPr>
        <w:br/>
        <w:t>1,49 промилле).</w:t>
      </w:r>
    </w:p>
    <w:p w:rsidR="00B01778" w:rsidRPr="00CD099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Средний возраст погибших составил </w:t>
      </w:r>
      <w:r w:rsidR="00973992" w:rsidRPr="00CD0996">
        <w:rPr>
          <w:rFonts w:eastAsia="Times New Roman"/>
          <w:spacing w:val="6"/>
          <w:sz w:val="30"/>
          <w:szCs w:val="30"/>
          <w:lang w:eastAsia="ru-RU"/>
        </w:rPr>
        <w:t>47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лет, потерпевших, получивших тяжелые производственные травмы, – 4</w:t>
      </w:r>
      <w:r w:rsidR="00973992" w:rsidRPr="00CD0996">
        <w:rPr>
          <w:rFonts w:eastAsia="Times New Roman"/>
          <w:spacing w:val="6"/>
          <w:sz w:val="30"/>
          <w:szCs w:val="30"/>
          <w:lang w:eastAsia="ru-RU"/>
        </w:rPr>
        <w:t>5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83355" w:rsidRPr="00CD0996">
        <w:rPr>
          <w:rFonts w:eastAsia="Times New Roman"/>
          <w:spacing w:val="6"/>
          <w:sz w:val="30"/>
          <w:szCs w:val="30"/>
          <w:lang w:eastAsia="ru-RU"/>
        </w:rPr>
        <w:t>лет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A51F3A" w:rsidRPr="00CD099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>е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«5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>5 лет и старше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», среди потерпевших, получивших тяжелые производственные травмы –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br/>
      </w:r>
      <w:r w:rsidRPr="00CD0996">
        <w:rPr>
          <w:rFonts w:eastAsia="Times New Roman"/>
          <w:spacing w:val="6"/>
          <w:sz w:val="30"/>
          <w:szCs w:val="30"/>
          <w:lang w:eastAsia="ru-RU"/>
        </w:rPr>
        <w:t>в возрастном диапазоне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 xml:space="preserve"> «от 40 до 49 лет» и 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«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>55 лет и старше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».</w:t>
      </w:r>
    </w:p>
    <w:p w:rsidR="00845468" w:rsidRDefault="00845468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</w:p>
    <w:p w:rsidR="00F61B6B" w:rsidRPr="00CD0996" w:rsidRDefault="00D26F02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7BD792B" wp14:editId="4ADE44F5">
            <wp:simplePos x="0" y="0"/>
            <wp:positionH relativeFrom="column">
              <wp:posOffset>56817</wp:posOffset>
            </wp:positionH>
            <wp:positionV relativeFrom="paragraph">
              <wp:posOffset>288078</wp:posOffset>
            </wp:positionV>
            <wp:extent cx="6120191" cy="3439886"/>
            <wp:effectExtent l="0" t="0" r="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996">
        <w:rPr>
          <w:noProof/>
          <w:lang w:eastAsia="ru-RU"/>
        </w:rPr>
        <w:drawing>
          <wp:inline distT="0" distB="0" distL="0" distR="0" wp14:anchorId="4C0838C7" wp14:editId="727718F6">
            <wp:extent cx="6134705" cy="419946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lastRenderedPageBreak/>
        <w:t xml:space="preserve">По результатам </w:t>
      </w:r>
      <w:r w:rsidR="00C068FB" w:rsidRPr="00CD0996">
        <w:rPr>
          <w:sz w:val="30"/>
          <w:szCs w:val="30"/>
        </w:rPr>
        <w:t xml:space="preserve">завершенных </w:t>
      </w:r>
      <w:r w:rsidRPr="00CD0996">
        <w:rPr>
          <w:sz w:val="30"/>
          <w:szCs w:val="30"/>
        </w:rPr>
        <w:t>специальных расследований несчастных случаев</w:t>
      </w:r>
      <w:r w:rsidR="00C068FB" w:rsidRPr="00CD0996">
        <w:rPr>
          <w:sz w:val="30"/>
          <w:szCs w:val="30"/>
        </w:rPr>
        <w:t xml:space="preserve"> </w:t>
      </w:r>
      <w:r w:rsidRPr="00CD0996">
        <w:rPr>
          <w:sz w:val="30"/>
          <w:szCs w:val="30"/>
        </w:rPr>
        <w:t xml:space="preserve">на производстве, </w:t>
      </w:r>
      <w:r w:rsidR="00C068FB" w:rsidRPr="00CD0996">
        <w:rPr>
          <w:sz w:val="30"/>
          <w:szCs w:val="30"/>
        </w:rPr>
        <w:t xml:space="preserve">приведших к гибели и </w:t>
      </w:r>
      <w:proofErr w:type="gramStart"/>
      <w:r w:rsidR="00C068FB" w:rsidRPr="00CD0996">
        <w:rPr>
          <w:sz w:val="30"/>
          <w:szCs w:val="30"/>
        </w:rPr>
        <w:t>тяжелому</w:t>
      </w:r>
      <w:proofErr w:type="gramEnd"/>
      <w:r w:rsidR="00C068FB" w:rsidRPr="00CD0996">
        <w:rPr>
          <w:sz w:val="30"/>
          <w:szCs w:val="30"/>
        </w:rPr>
        <w:t xml:space="preserve"> </w:t>
      </w:r>
      <w:proofErr w:type="spellStart"/>
      <w:r w:rsidR="00C068FB" w:rsidRPr="00CD0996">
        <w:rPr>
          <w:sz w:val="30"/>
          <w:szCs w:val="30"/>
        </w:rPr>
        <w:t>травмированию</w:t>
      </w:r>
      <w:proofErr w:type="spellEnd"/>
      <w:r w:rsidR="00C068FB" w:rsidRPr="00CD0996">
        <w:rPr>
          <w:sz w:val="30"/>
          <w:szCs w:val="30"/>
        </w:rPr>
        <w:t xml:space="preserve"> работников,</w:t>
      </w:r>
      <w:r w:rsidR="00F61B6B" w:rsidRPr="00CD0996">
        <w:rPr>
          <w:sz w:val="30"/>
          <w:szCs w:val="30"/>
        </w:rPr>
        <w:t xml:space="preserve"> наиболее частыми </w:t>
      </w:r>
      <w:r w:rsidRPr="00CD0996">
        <w:rPr>
          <w:sz w:val="30"/>
          <w:szCs w:val="30"/>
        </w:rPr>
        <w:t>причинами несчастных случаев явились:</w:t>
      </w:r>
    </w:p>
    <w:p w:rsidR="00FF7751" w:rsidRPr="00CD0996" w:rsidRDefault="0059689B" w:rsidP="00D66B1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нарушение потерпевшим требований безопасности </w:t>
      </w:r>
      <w:r w:rsidR="00F61B6B" w:rsidRPr="00CD0996">
        <w:rPr>
          <w:sz w:val="30"/>
          <w:szCs w:val="30"/>
        </w:rPr>
        <w:t>(21,</w:t>
      </w:r>
      <w:r w:rsidR="004C003C" w:rsidRPr="00CD0996">
        <w:rPr>
          <w:sz w:val="30"/>
          <w:szCs w:val="30"/>
        </w:rPr>
        <w:t>4</w:t>
      </w:r>
      <w:r w:rsidR="00F61B6B" w:rsidRPr="00CD0996">
        <w:rPr>
          <w:sz w:val="30"/>
          <w:szCs w:val="30"/>
        </w:rPr>
        <w:t>%)</w:t>
      </w:r>
      <w:r w:rsidR="00FF7751" w:rsidRPr="00CD0996">
        <w:rPr>
          <w:sz w:val="30"/>
          <w:szCs w:val="30"/>
        </w:rPr>
        <w:t>;</w:t>
      </w:r>
    </w:p>
    <w:p w:rsidR="00D66B1F" w:rsidRPr="00CD0996" w:rsidRDefault="00D66B1F" w:rsidP="00D66B1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неудовлетворительная организация производства работ (1</w:t>
      </w:r>
      <w:r w:rsidR="004C003C" w:rsidRPr="00CD0996">
        <w:rPr>
          <w:sz w:val="30"/>
          <w:szCs w:val="30"/>
        </w:rPr>
        <w:t>7</w:t>
      </w:r>
      <w:r w:rsidRPr="00CD0996">
        <w:rPr>
          <w:sz w:val="30"/>
          <w:szCs w:val="30"/>
        </w:rPr>
        <w:t>,</w:t>
      </w:r>
      <w:r w:rsidR="004C003C" w:rsidRPr="00CD0996">
        <w:rPr>
          <w:sz w:val="30"/>
          <w:szCs w:val="30"/>
        </w:rPr>
        <w:t>3</w:t>
      </w:r>
      <w:r w:rsidRPr="00CD0996">
        <w:rPr>
          <w:sz w:val="30"/>
          <w:szCs w:val="30"/>
        </w:rPr>
        <w:t>%);</w:t>
      </w:r>
    </w:p>
    <w:p w:rsidR="00D66B1F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нарушение порядка привлечения потерпевшего к выполнению работ (1</w:t>
      </w:r>
      <w:r w:rsidR="004C003C" w:rsidRPr="00CD0996">
        <w:rPr>
          <w:sz w:val="30"/>
          <w:szCs w:val="30"/>
        </w:rPr>
        <w:t>5</w:t>
      </w:r>
      <w:r w:rsidRPr="00CD0996">
        <w:rPr>
          <w:sz w:val="30"/>
          <w:szCs w:val="30"/>
        </w:rPr>
        <w:t>,</w:t>
      </w:r>
      <w:r w:rsidR="004C003C" w:rsidRPr="00CD0996">
        <w:rPr>
          <w:sz w:val="30"/>
          <w:szCs w:val="30"/>
        </w:rPr>
        <w:t>9</w:t>
      </w:r>
      <w:r w:rsidRPr="00CD0996">
        <w:rPr>
          <w:sz w:val="30"/>
          <w:szCs w:val="30"/>
        </w:rPr>
        <w:t>%);</w:t>
      </w:r>
    </w:p>
    <w:p w:rsidR="004C003C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личная неосторожность потерпевших</w:t>
      </w:r>
      <w:r w:rsidR="00F61B6B" w:rsidRPr="00CD0996">
        <w:rPr>
          <w:sz w:val="30"/>
          <w:szCs w:val="30"/>
        </w:rPr>
        <w:t xml:space="preserve"> (1</w:t>
      </w:r>
      <w:r w:rsidR="004C003C" w:rsidRPr="00CD0996">
        <w:rPr>
          <w:sz w:val="30"/>
          <w:szCs w:val="30"/>
        </w:rPr>
        <w:t>5</w:t>
      </w:r>
      <w:r w:rsidR="00F61B6B" w:rsidRPr="00CD0996">
        <w:rPr>
          <w:sz w:val="30"/>
          <w:szCs w:val="30"/>
        </w:rPr>
        <w:t>%)</w:t>
      </w:r>
      <w:r w:rsidR="004C003C" w:rsidRPr="00CD0996">
        <w:rPr>
          <w:sz w:val="30"/>
          <w:szCs w:val="30"/>
        </w:rPr>
        <w:t>.</w:t>
      </w:r>
    </w:p>
    <w:p w:rsidR="004C003C" w:rsidRPr="00CD0996" w:rsidRDefault="004C003C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:rsidR="00D66B1F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необеспечение технологического процесса безопасности </w:t>
      </w:r>
      <w:proofErr w:type="gramStart"/>
      <w:r w:rsidRPr="00CD0996">
        <w:rPr>
          <w:sz w:val="30"/>
          <w:szCs w:val="30"/>
        </w:rPr>
        <w:t>работающих</w:t>
      </w:r>
      <w:proofErr w:type="gramEnd"/>
      <w:r w:rsidR="004C003C" w:rsidRPr="00CD0996">
        <w:rPr>
          <w:sz w:val="30"/>
          <w:szCs w:val="30"/>
        </w:rPr>
        <w:t xml:space="preserve"> (9,1%);</w:t>
      </w:r>
    </w:p>
    <w:p w:rsidR="0059689B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нарушение требований безопасности при эксплуатации машин, механизмов, оборудования, оснастки, инструмента, транспортных средств </w:t>
      </w:r>
      <w:r w:rsidR="004C003C" w:rsidRPr="00CD0996">
        <w:rPr>
          <w:sz w:val="30"/>
          <w:szCs w:val="30"/>
        </w:rPr>
        <w:t>(4</w:t>
      </w:r>
      <w:r w:rsidR="00FF7751" w:rsidRPr="00CD0996">
        <w:rPr>
          <w:sz w:val="30"/>
          <w:szCs w:val="30"/>
        </w:rPr>
        <w:t>,</w:t>
      </w:r>
      <w:r w:rsidR="004C003C" w:rsidRPr="00CD0996">
        <w:rPr>
          <w:sz w:val="30"/>
          <w:szCs w:val="30"/>
        </w:rPr>
        <w:t>1%);</w:t>
      </w:r>
    </w:p>
    <w:p w:rsidR="00D66B1F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необеспечение потерпевшего средствами индивидуальной защиты </w:t>
      </w:r>
      <w:r w:rsidR="004C003C" w:rsidRPr="00CD0996">
        <w:rPr>
          <w:sz w:val="30"/>
          <w:szCs w:val="30"/>
        </w:rPr>
        <w:t>(2,3%);</w:t>
      </w:r>
    </w:p>
    <w:p w:rsidR="004C003C" w:rsidRPr="00CD0996" w:rsidRDefault="004C003C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прочие причины (15%).</w:t>
      </w:r>
    </w:p>
    <w:p w:rsidR="00FA3044" w:rsidRPr="00CD0996" w:rsidRDefault="00FA3044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CD0996" w:rsidRDefault="0059689B" w:rsidP="000A4A6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CD0996">
        <w:rPr>
          <w:noProof/>
          <w:sz w:val="30"/>
          <w:szCs w:val="30"/>
          <w:lang w:eastAsia="ru-RU"/>
        </w:rPr>
        <w:drawing>
          <wp:inline distT="0" distB="0" distL="0" distR="0" wp14:anchorId="5E057A12" wp14:editId="1328E32D">
            <wp:extent cx="6125029" cy="4852610"/>
            <wp:effectExtent l="0" t="0" r="0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0263A" w:rsidRDefault="00F0263A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lastRenderedPageBreak/>
        <w:t>Анализ причин несчастных случаев с тяжелыми последствиями, расследование которых завершено, показывает, что: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в </w:t>
      </w:r>
      <w:r w:rsidR="000C51C2" w:rsidRPr="00CD0996">
        <w:rPr>
          <w:sz w:val="30"/>
          <w:szCs w:val="30"/>
        </w:rPr>
        <w:t>3</w:t>
      </w:r>
      <w:r w:rsidR="00BF23D9" w:rsidRPr="00CD0996">
        <w:rPr>
          <w:sz w:val="30"/>
          <w:szCs w:val="30"/>
        </w:rPr>
        <w:t>5,2</w:t>
      </w:r>
      <w:r w:rsidR="000C51C2" w:rsidRPr="00CD0996">
        <w:rPr>
          <w:sz w:val="30"/>
          <w:szCs w:val="30"/>
        </w:rPr>
        <w:t xml:space="preserve">% </w:t>
      </w:r>
      <w:r w:rsidRPr="00CD0996">
        <w:rPr>
          <w:sz w:val="30"/>
          <w:szCs w:val="30"/>
        </w:rPr>
        <w:t>случа</w:t>
      </w:r>
      <w:r w:rsidR="00C82FF0" w:rsidRPr="00CD0996">
        <w:rPr>
          <w:sz w:val="30"/>
          <w:szCs w:val="30"/>
        </w:rPr>
        <w:t>ев</w:t>
      </w:r>
      <w:r w:rsidRPr="00CD0996">
        <w:rPr>
          <w:sz w:val="30"/>
          <w:szCs w:val="30"/>
        </w:rPr>
        <w:t xml:space="preserve"> виновных лиц не усматривается;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исключительно по вине нанимателя (работодателя) произошло</w:t>
      </w:r>
      <w:r w:rsidRPr="00CD0996">
        <w:rPr>
          <w:sz w:val="30"/>
          <w:szCs w:val="30"/>
        </w:rPr>
        <w:br/>
      </w:r>
      <w:r w:rsidR="00BF23D9" w:rsidRPr="00CD0996">
        <w:rPr>
          <w:sz w:val="30"/>
          <w:szCs w:val="30"/>
        </w:rPr>
        <w:t>21</w:t>
      </w:r>
      <w:r w:rsidR="000C51C2" w:rsidRPr="00CD0996">
        <w:rPr>
          <w:sz w:val="30"/>
          <w:szCs w:val="30"/>
        </w:rPr>
        <w:t>,</w:t>
      </w:r>
      <w:r w:rsidR="00BF23D9" w:rsidRPr="00CD0996">
        <w:rPr>
          <w:sz w:val="30"/>
          <w:szCs w:val="30"/>
        </w:rPr>
        <w:t>6</w:t>
      </w:r>
      <w:r w:rsidR="000C51C2" w:rsidRPr="00CD0996">
        <w:rPr>
          <w:sz w:val="30"/>
          <w:szCs w:val="30"/>
        </w:rPr>
        <w:t xml:space="preserve">% </w:t>
      </w:r>
      <w:r w:rsidRPr="00CD0996">
        <w:rPr>
          <w:sz w:val="30"/>
          <w:szCs w:val="30"/>
        </w:rPr>
        <w:t>случаев;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по вине самого потерпевшего, включая личную неосторожность потерпевшего – </w:t>
      </w:r>
      <w:r w:rsidR="00BF23D9" w:rsidRPr="00CD0996">
        <w:rPr>
          <w:sz w:val="30"/>
          <w:szCs w:val="30"/>
        </w:rPr>
        <w:t>20,8</w:t>
      </w:r>
      <w:r w:rsidR="000C51C2" w:rsidRPr="00CD0996">
        <w:rPr>
          <w:sz w:val="30"/>
          <w:szCs w:val="30"/>
        </w:rPr>
        <w:t>% случаев</w:t>
      </w:r>
      <w:r w:rsidRPr="00CD0996">
        <w:rPr>
          <w:sz w:val="30"/>
          <w:szCs w:val="30"/>
        </w:rPr>
        <w:t>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наличие смешанной ответственности нанимателя и потерпевшего</w:t>
      </w:r>
      <w:r w:rsidR="0028469E" w:rsidRPr="00CD0996">
        <w:rPr>
          <w:sz w:val="30"/>
          <w:szCs w:val="30"/>
        </w:rPr>
        <w:t xml:space="preserve"> установлено в </w:t>
      </w:r>
      <w:r w:rsidR="00BF23D9" w:rsidRPr="00CD0996">
        <w:rPr>
          <w:sz w:val="30"/>
          <w:szCs w:val="30"/>
        </w:rPr>
        <w:t>8,8</w:t>
      </w:r>
      <w:r w:rsidR="000C51C2" w:rsidRPr="00CD0996">
        <w:rPr>
          <w:sz w:val="30"/>
          <w:szCs w:val="30"/>
        </w:rPr>
        <w:t>%</w:t>
      </w:r>
      <w:r w:rsidRPr="00CD0996">
        <w:rPr>
          <w:sz w:val="30"/>
          <w:szCs w:val="30"/>
        </w:rPr>
        <w:t xml:space="preserve"> случаев;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</w:t>
      </w:r>
      <w:r w:rsidR="0028469E" w:rsidRPr="00CD0996">
        <w:rPr>
          <w:sz w:val="30"/>
          <w:szCs w:val="30"/>
        </w:rPr>
        <w:t xml:space="preserve">, – в </w:t>
      </w:r>
      <w:r w:rsidR="00BF23D9" w:rsidRPr="00CD0996">
        <w:rPr>
          <w:sz w:val="30"/>
          <w:szCs w:val="30"/>
        </w:rPr>
        <w:t>4</w:t>
      </w:r>
      <w:r w:rsidR="000C51C2" w:rsidRPr="00CD0996">
        <w:rPr>
          <w:sz w:val="30"/>
          <w:szCs w:val="30"/>
        </w:rPr>
        <w:t>%</w:t>
      </w:r>
      <w:r w:rsidR="0028469E" w:rsidRPr="00CD0996">
        <w:rPr>
          <w:sz w:val="30"/>
          <w:szCs w:val="30"/>
        </w:rPr>
        <w:t xml:space="preserve"> случаев</w:t>
      </w:r>
      <w:r w:rsidRPr="00CD0996">
        <w:rPr>
          <w:sz w:val="30"/>
          <w:szCs w:val="30"/>
        </w:rPr>
        <w:t>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вин</w:t>
      </w:r>
      <w:r w:rsidR="0028469E" w:rsidRPr="00CD0996">
        <w:rPr>
          <w:sz w:val="30"/>
          <w:szCs w:val="30"/>
        </w:rPr>
        <w:t>а</w:t>
      </w:r>
      <w:r w:rsidRPr="00CD0996">
        <w:rPr>
          <w:sz w:val="30"/>
          <w:szCs w:val="30"/>
        </w:rPr>
        <w:t xml:space="preserve"> сторонних лиц </w:t>
      </w:r>
      <w:r w:rsidR="0028469E" w:rsidRPr="00CD0996">
        <w:rPr>
          <w:sz w:val="30"/>
          <w:szCs w:val="30"/>
        </w:rPr>
        <w:t xml:space="preserve">установлена в </w:t>
      </w:r>
      <w:r w:rsidR="00BF23D9" w:rsidRPr="00CD0996">
        <w:rPr>
          <w:sz w:val="30"/>
          <w:szCs w:val="30"/>
        </w:rPr>
        <w:t>2,4</w:t>
      </w:r>
      <w:r w:rsidRPr="00CD0996">
        <w:rPr>
          <w:sz w:val="30"/>
          <w:szCs w:val="30"/>
        </w:rPr>
        <w:t>%</w:t>
      </w:r>
      <w:r w:rsidR="0028469E" w:rsidRPr="00CD0996">
        <w:rPr>
          <w:sz w:val="30"/>
          <w:szCs w:val="30"/>
        </w:rPr>
        <w:t xml:space="preserve"> случаев</w:t>
      </w:r>
      <w:r w:rsidRPr="00CD0996">
        <w:rPr>
          <w:sz w:val="30"/>
          <w:szCs w:val="30"/>
        </w:rPr>
        <w:t>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вин</w:t>
      </w:r>
      <w:r w:rsidR="0028469E" w:rsidRPr="00CD0996">
        <w:rPr>
          <w:sz w:val="30"/>
          <w:szCs w:val="30"/>
        </w:rPr>
        <w:t>а</w:t>
      </w:r>
      <w:r w:rsidRPr="00CD0996">
        <w:rPr>
          <w:sz w:val="30"/>
          <w:szCs w:val="30"/>
        </w:rPr>
        <w:t xml:space="preserve"> работника нанимателя, не являющегося должностным </w:t>
      </w:r>
      <w:r w:rsidRPr="00CD0996">
        <w:rPr>
          <w:sz w:val="30"/>
          <w:szCs w:val="30"/>
        </w:rPr>
        <w:br/>
        <w:t>лицом</w:t>
      </w:r>
      <w:r w:rsidR="0028469E" w:rsidRPr="00CD0996">
        <w:rPr>
          <w:sz w:val="30"/>
          <w:szCs w:val="30"/>
        </w:rPr>
        <w:t>,</w:t>
      </w:r>
      <w:r w:rsidR="00BF23D9" w:rsidRPr="00CD0996">
        <w:rPr>
          <w:sz w:val="30"/>
          <w:szCs w:val="30"/>
        </w:rPr>
        <w:t xml:space="preserve"> – 1,6</w:t>
      </w:r>
      <w:r w:rsidRPr="00CD0996">
        <w:rPr>
          <w:sz w:val="30"/>
          <w:szCs w:val="30"/>
        </w:rPr>
        <w:t>%</w:t>
      </w:r>
      <w:r w:rsidR="0028469E" w:rsidRPr="00CD0996">
        <w:rPr>
          <w:sz w:val="30"/>
          <w:szCs w:val="30"/>
        </w:rPr>
        <w:t xml:space="preserve"> случаев</w:t>
      </w:r>
      <w:r w:rsidRPr="00CD0996">
        <w:rPr>
          <w:sz w:val="30"/>
          <w:szCs w:val="30"/>
        </w:rPr>
        <w:t>;</w:t>
      </w:r>
    </w:p>
    <w:p w:rsidR="0059689B" w:rsidRDefault="00BF23D9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другое</w:t>
      </w:r>
      <w:r w:rsidR="0059689B" w:rsidRPr="00CD0996">
        <w:rPr>
          <w:sz w:val="30"/>
          <w:szCs w:val="30"/>
        </w:rPr>
        <w:t xml:space="preserve"> </w:t>
      </w:r>
      <w:r w:rsidR="0028469E" w:rsidRPr="00CD0996">
        <w:rPr>
          <w:sz w:val="30"/>
          <w:szCs w:val="30"/>
        </w:rPr>
        <w:t xml:space="preserve">– </w:t>
      </w:r>
      <w:r w:rsidRPr="00CD0996">
        <w:rPr>
          <w:sz w:val="30"/>
          <w:szCs w:val="30"/>
        </w:rPr>
        <w:t>5,6</w:t>
      </w:r>
      <w:r w:rsidR="0028469E" w:rsidRPr="00CD0996">
        <w:rPr>
          <w:sz w:val="30"/>
          <w:szCs w:val="30"/>
        </w:rPr>
        <w:t>%</w:t>
      </w:r>
      <w:r w:rsidR="0059689B" w:rsidRPr="00CD0996">
        <w:rPr>
          <w:sz w:val="30"/>
          <w:szCs w:val="30"/>
        </w:rPr>
        <w:t>.</w:t>
      </w:r>
    </w:p>
    <w:p w:rsidR="00F0263A" w:rsidRPr="00CD0996" w:rsidRDefault="00F0263A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CD0996" w:rsidRDefault="0059689B" w:rsidP="006623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CD0996">
        <w:rPr>
          <w:noProof/>
          <w:sz w:val="30"/>
          <w:szCs w:val="30"/>
          <w:lang w:eastAsia="ru-RU"/>
        </w:rPr>
        <w:drawing>
          <wp:inline distT="0" distB="0" distL="0" distR="0" wp14:anchorId="229FF8A3" wp14:editId="6E123D09">
            <wp:extent cx="6115353" cy="4765524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D4521A" w:rsidRPr="00CD0996" w:rsidRDefault="00D4521A" w:rsidP="00D4521A">
      <w:pPr>
        <w:spacing w:line="280" w:lineRule="exact"/>
        <w:ind w:right="4253"/>
        <w:rPr>
          <w:sz w:val="30"/>
          <w:szCs w:val="30"/>
        </w:rPr>
      </w:pPr>
      <w:r w:rsidRPr="00CD0996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414999" w:rsidRDefault="00BF23D9" w:rsidP="0028469E">
      <w:pPr>
        <w:spacing w:line="280" w:lineRule="exact"/>
        <w:ind w:right="5103"/>
        <w:rPr>
          <w:sz w:val="30"/>
          <w:szCs w:val="30"/>
        </w:rPr>
      </w:pPr>
      <w:r w:rsidRPr="00CD0996">
        <w:rPr>
          <w:sz w:val="30"/>
          <w:szCs w:val="30"/>
        </w:rPr>
        <w:t>22</w:t>
      </w:r>
      <w:r w:rsidR="00D4521A" w:rsidRPr="00CD0996">
        <w:rPr>
          <w:sz w:val="30"/>
          <w:szCs w:val="30"/>
        </w:rPr>
        <w:t>.</w:t>
      </w:r>
      <w:r w:rsidRPr="00CD0996">
        <w:rPr>
          <w:sz w:val="30"/>
          <w:szCs w:val="30"/>
        </w:rPr>
        <w:t>0</w:t>
      </w:r>
      <w:r w:rsidR="00D4521A" w:rsidRPr="00CD0996">
        <w:rPr>
          <w:sz w:val="30"/>
          <w:szCs w:val="30"/>
        </w:rPr>
        <w:t>1.202</w:t>
      </w:r>
      <w:r w:rsidRPr="00CD0996">
        <w:rPr>
          <w:sz w:val="30"/>
          <w:szCs w:val="30"/>
        </w:rPr>
        <w:t>6</w:t>
      </w:r>
    </w:p>
    <w:sectPr w:rsidR="00414999" w:rsidSect="0041262A">
      <w:headerReference w:type="default" r:id="rId24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05" w:rsidRDefault="00921E05" w:rsidP="004C441E">
      <w:r>
        <w:separator/>
      </w:r>
    </w:p>
  </w:endnote>
  <w:endnote w:type="continuationSeparator" w:id="0">
    <w:p w:rsidR="00921E05" w:rsidRDefault="00921E05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05" w:rsidRDefault="00921E05" w:rsidP="004C441E">
      <w:r>
        <w:separator/>
      </w:r>
    </w:p>
  </w:footnote>
  <w:footnote w:type="continuationSeparator" w:id="0">
    <w:p w:rsidR="00921E05" w:rsidRDefault="00921E05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D5160F">
          <w:rPr>
            <w:noProof/>
            <w:sz w:val="28"/>
            <w:szCs w:val="28"/>
          </w:rPr>
          <w:t>6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1E9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62C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736B"/>
    <w:rsid w:val="00357904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A6086"/>
    <w:rsid w:val="003B07F1"/>
    <w:rsid w:val="003B117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7F2C"/>
    <w:rsid w:val="0049068E"/>
    <w:rsid w:val="00491BF2"/>
    <w:rsid w:val="0049278F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08CC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D72BD"/>
    <w:rsid w:val="004E07D1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4066"/>
    <w:rsid w:val="005E4E6B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C7E"/>
    <w:rsid w:val="00676121"/>
    <w:rsid w:val="00676283"/>
    <w:rsid w:val="006767CD"/>
    <w:rsid w:val="006768D4"/>
    <w:rsid w:val="00677690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6A5"/>
    <w:rsid w:val="006C6CEB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1C6"/>
    <w:rsid w:val="007912F7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C65"/>
    <w:rsid w:val="007A3D97"/>
    <w:rsid w:val="007A4139"/>
    <w:rsid w:val="007A4812"/>
    <w:rsid w:val="007A4B10"/>
    <w:rsid w:val="007A4CC1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5468"/>
    <w:rsid w:val="00846FC2"/>
    <w:rsid w:val="0084760D"/>
    <w:rsid w:val="00847778"/>
    <w:rsid w:val="00851ACF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D3A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40358"/>
    <w:rsid w:val="0094104F"/>
    <w:rsid w:val="0094108A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7596"/>
    <w:rsid w:val="00A708C3"/>
    <w:rsid w:val="00A70B7F"/>
    <w:rsid w:val="00A711E5"/>
    <w:rsid w:val="00A71399"/>
    <w:rsid w:val="00A72DCA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693E"/>
    <w:rsid w:val="00B374DA"/>
    <w:rsid w:val="00B37903"/>
    <w:rsid w:val="00B37ED6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92"/>
    <w:rsid w:val="00C41C3E"/>
    <w:rsid w:val="00C41F69"/>
    <w:rsid w:val="00C42003"/>
    <w:rsid w:val="00C4468A"/>
    <w:rsid w:val="00C44871"/>
    <w:rsid w:val="00C44C11"/>
    <w:rsid w:val="00C45957"/>
    <w:rsid w:val="00C479E4"/>
    <w:rsid w:val="00C507E4"/>
    <w:rsid w:val="00C516AB"/>
    <w:rsid w:val="00C53500"/>
    <w:rsid w:val="00C53570"/>
    <w:rsid w:val="00C549F5"/>
    <w:rsid w:val="00C55723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FF0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B9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E3C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160F"/>
    <w:rsid w:val="00D521A4"/>
    <w:rsid w:val="00D55A92"/>
    <w:rsid w:val="00D57B7D"/>
    <w:rsid w:val="00D60982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6566"/>
    <w:rsid w:val="00D66B1F"/>
    <w:rsid w:val="00D66BC9"/>
    <w:rsid w:val="00D67897"/>
    <w:rsid w:val="00D7008E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27D0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654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5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6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884373556188E-2"/>
          <c:y val="0.19314340515127917"/>
          <c:w val="0.98736508751546204"/>
          <c:h val="0.4135987590734581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1.146784167257609E-2"/>
                  <c:y val="-4.2208830766592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475728206385332E-2"/>
                  <c:y val="-3.64243437135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645016203960419E-2"/>
                  <c:y val="-3.6039193582364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3904928550597837E-3"/>
                  <c:y val="-3.6039421319623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561059187779027E-2"/>
                  <c:y val="-3.7000703630290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39</c:v>
                </c:pt>
                <c:pt idx="1">
                  <c:v>24</c:v>
                </c:pt>
                <c:pt idx="2">
                  <c:v>22</c:v>
                </c:pt>
                <c:pt idx="3">
                  <c:v>23</c:v>
                </c:pt>
                <c:pt idx="4">
                  <c:v>30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141</c:v>
                </c:pt>
                <c:pt idx="1">
                  <c:v>128</c:v>
                </c:pt>
                <c:pt idx="2">
                  <c:v>131</c:v>
                </c:pt>
                <c:pt idx="3">
                  <c:v>117</c:v>
                </c:pt>
                <c:pt idx="4">
                  <c:v>138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387</c:v>
                </c:pt>
                <c:pt idx="1">
                  <c:v>342</c:v>
                </c:pt>
                <c:pt idx="2">
                  <c:v>368</c:v>
                </c:pt>
                <c:pt idx="3">
                  <c:v>362</c:v>
                </c:pt>
                <c:pt idx="4">
                  <c:v>359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363840"/>
        <c:axId val="95365376"/>
      </c:lineChart>
      <c:catAx>
        <c:axId val="9536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53653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536537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95363840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1.6614297891469464E-3"/>
          <c:y val="0.75565800163000896"/>
          <c:w val="0.99833859690568594"/>
          <c:h val="0.2434935041659417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7263770074202547"/>
          <c:w val="1"/>
          <c:h val="0.4739022727030569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2024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6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353096049909648E-7"/>
                  <c:y val="-4.8483634202213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36863966770508E-3"/>
                  <c:y val="-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2024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31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22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98518912"/>
        <c:axId val="98520448"/>
        <c:axId val="0"/>
      </c:bar3DChart>
      <c:catAx>
        <c:axId val="98518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520448"/>
        <c:crosses val="autoZero"/>
        <c:auto val="1"/>
        <c:lblAlgn val="ctr"/>
        <c:lblOffset val="100"/>
        <c:tickMarkSkip val="1"/>
        <c:noMultiLvlLbl val="0"/>
      </c:catAx>
      <c:valAx>
        <c:axId val="985204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8518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212873202759369"/>
          <c:w val="1"/>
          <c:h val="0.22787138054233197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412609890222379"/>
          <c:y val="0.20336315624780479"/>
          <c:w val="0.38181253864327802"/>
          <c:h val="0.41588579300657746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2025 г. количество</c:v>
                </c:pt>
              </c:strCache>
            </c:strRef>
          </c:tx>
          <c:dPt>
            <c:idx val="2"/>
            <c:bubble3D val="0"/>
          </c:dPt>
          <c:dLbls>
            <c:dLbl>
              <c:idx val="0"/>
              <c:layout>
                <c:manualLayout>
                  <c:x val="8.1981749441011942E-2"/>
                  <c:y val="-0.1658732312672688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43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(26,5%)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4517262298228725E-2"/>
                  <c:y val="-5.08877909202506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14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(8,3%)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276749044659428"/>
                  <c:y val="8.9034826340737214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49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(29,2%)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872321426816622"/>
                  <c:y val="-1.79355513577925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(3,6%)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3720669095444963E-2"/>
                  <c:y val="-2.7028498200231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(1,8%)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1240033044662048"/>
                  <c:y val="-9.057513774605121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23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(13,7%)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7623182101375837E-2"/>
                  <c:y val="-1.47668594003030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 (3,0%)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1159727440499624E-2"/>
                  <c:y val="-2.4183325557743447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11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(6,5%)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0086712757113217"/>
                  <c:y val="-2.4199244762132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(3,6%)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2293282512861803"/>
                  <c:y val="1.0695394497141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(2,4%)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3950953178648851E-3"/>
                  <c:y val="4.82547031620418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(2,4%)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(43)</c:v>
                </c:pt>
                <c:pt idx="1">
                  <c:v>горнодобывающая промышленность (14)</c:v>
                </c:pt>
                <c:pt idx="2">
                  <c:v>обрабатывающая промышленность (49)</c:v>
                </c:pt>
                <c:pt idx="3">
                  <c:v>снабжение электроэнергией, газом, паром, горячей водой и кондиционированным воздухом (6)</c:v>
                </c:pt>
                <c:pt idx="4">
                  <c:v>водоснабжение; сбор, обработка и удаление отходов, деятельность по ликвидации загрязнений (3)</c:v>
                </c:pt>
                <c:pt idx="5">
                  <c:v>строительство (23)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транспортная деятельность, складирование, почтовая и курьерская деятельность (11)</c:v>
                </c:pt>
                <c:pt idx="8">
                  <c:v>образование (6)</c:v>
                </c:pt>
                <c:pt idx="9">
                  <c:v>здравоохранение и социальные услуги (4)</c:v>
                </c:pt>
                <c:pt idx="10">
                  <c:v>другие виды деятельности (4)</c:v>
                </c:pt>
              </c:strCache>
            </c:strRef>
          </c:cat>
          <c:val>
            <c:numRef>
              <c:f>'к деятельности'!$D$5:$D$15</c:f>
              <c:numCache>
                <c:formatCode>General</c:formatCode>
                <c:ptCount val="11"/>
                <c:pt idx="0">
                  <c:v>43</c:v>
                </c:pt>
                <c:pt idx="1">
                  <c:v>14</c:v>
                </c:pt>
                <c:pt idx="2">
                  <c:v>49</c:v>
                </c:pt>
                <c:pt idx="3">
                  <c:v>6</c:v>
                </c:pt>
                <c:pt idx="4">
                  <c:v>3</c:v>
                </c:pt>
                <c:pt idx="5">
                  <c:v>23</c:v>
                </c:pt>
                <c:pt idx="6">
                  <c:v>5</c:v>
                </c:pt>
                <c:pt idx="7">
                  <c:v>11</c:v>
                </c:pt>
                <c:pt idx="8">
                  <c:v>6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2025 г. %</c:v>
                </c:pt>
              </c:strCache>
            </c:strRef>
          </c:tx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(43)</c:v>
                </c:pt>
                <c:pt idx="1">
                  <c:v>горнодобывающая промышленность (14)</c:v>
                </c:pt>
                <c:pt idx="2">
                  <c:v>обрабатывающая промышленность (49)</c:v>
                </c:pt>
                <c:pt idx="3">
                  <c:v>снабжение электроэнергией, газом, паром, горячей водой и кондиционированным воздухом (6)</c:v>
                </c:pt>
                <c:pt idx="4">
                  <c:v>водоснабжение; сбор, обработка и удаление отходов, деятельность по ликвидации загрязнений (3)</c:v>
                </c:pt>
                <c:pt idx="5">
                  <c:v>строительство (23)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транспортная деятельность, складирование, почтовая и курьерская деятельность (11)</c:v>
                </c:pt>
                <c:pt idx="8">
                  <c:v>образование (6)</c:v>
                </c:pt>
                <c:pt idx="9">
                  <c:v>здравоохранение и социальные услуги (4)</c:v>
                </c:pt>
                <c:pt idx="10">
                  <c:v>другие виды деятельности (4)</c:v>
                </c:pt>
              </c:strCache>
            </c:strRef>
          </c:cat>
          <c:val>
            <c:numRef>
              <c:f>'к деятельности'!$E$5:$E$15</c:f>
              <c:numCache>
                <c:formatCode>0.0%</c:formatCode>
                <c:ptCount val="11"/>
                <c:pt idx="0">
                  <c:v>0.25595238095238093</c:v>
                </c:pt>
                <c:pt idx="1">
                  <c:v>8.3333333333333329E-2</c:v>
                </c:pt>
                <c:pt idx="2">
                  <c:v>0.29166666666666669</c:v>
                </c:pt>
                <c:pt idx="3">
                  <c:v>3.5714285714285712E-2</c:v>
                </c:pt>
                <c:pt idx="4">
                  <c:v>1.7857142857142856E-2</c:v>
                </c:pt>
                <c:pt idx="5">
                  <c:v>0.13690476190476192</c:v>
                </c:pt>
                <c:pt idx="6">
                  <c:v>2.976190476190476E-2</c:v>
                </c:pt>
                <c:pt idx="7">
                  <c:v>6.5476190476190479E-2</c:v>
                </c:pt>
                <c:pt idx="8">
                  <c:v>3.5714285714285712E-2</c:v>
                </c:pt>
                <c:pt idx="9">
                  <c:v>2.3809523809523808E-2</c:v>
                </c:pt>
                <c:pt idx="10">
                  <c:v>2.3809523809523808E-2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3667293148419E-5"/>
          <c:y val="0.64636043710889135"/>
          <c:w val="0.99880897708951477"/>
          <c:h val="0.35363966098158228"/>
        </c:manualLayout>
      </c:layout>
      <c:overlay val="0"/>
      <c:spPr>
        <a:noFill/>
      </c:spPr>
      <c:txPr>
        <a:bodyPr/>
        <a:lstStyle/>
        <a:p>
          <a:pPr rtl="0"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086155004372644"/>
          <c:y val="0.15697432316373294"/>
          <c:w val="0.41725811010014385"/>
          <c:h val="0.45568166673466337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864972433917493"/>
                  <c:y val="-0.17522525032306999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62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36,9%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297609208963268E-2"/>
                  <c:y val="-1.719792731958855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 (</a:t>
                    </a:r>
                    <a:r>
                      <a:rPr lang="en-US"/>
                      <a:t>19,6%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008238188085341E-2"/>
                  <c:y val="-8.1725721784776907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 (</a:t>
                    </a:r>
                    <a:r>
                      <a:rPr lang="en-US"/>
                      <a:t>13,1%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551671113646366E-2"/>
                  <c:y val="-3.07990387881685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 (</a:t>
                    </a:r>
                    <a:r>
                      <a:rPr lang="en-US"/>
                      <a:t>11,3%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4796978584734514E-2"/>
                  <c:y val="-8.65450114220291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(</a:t>
                    </a:r>
                    <a:r>
                      <a:rPr lang="en-US"/>
                      <a:t>5,9%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1000143744035682E-2"/>
                  <c:y val="-4.953619911535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 (</a:t>
                    </a:r>
                    <a:r>
                      <a:rPr lang="en-US"/>
                      <a:t>5,4%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8998162477485238E-2"/>
                  <c:y val="-2.7010268143592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 (</a:t>
                    </a:r>
                    <a:r>
                      <a:rPr lang="en-US"/>
                      <a:t>7,7%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деятельности'!$C$2:$C$8</c:f>
              <c:strCache>
                <c:ptCount val="7"/>
                <c:pt idx="0">
                  <c:v> падение потерпевшего (62)</c:v>
                </c:pt>
                <c:pt idx="1">
                  <c:v> воздействие движущихся, разлетающихся, вращающихся предметов, деталей (33)</c:v>
                </c:pt>
                <c:pt idx="2">
                  <c:v> дорожно-транспортные происшествия (22)</c:v>
                </c:pt>
                <c:pt idx="3">
                  <c:v> падение, обрушение конструкций зданий и сооружений, обвалы предметов, материалов, грунта (19)</c:v>
                </c:pt>
                <c:pt idx="4">
                  <c:v> телесные повреждения, нанесенные животными (10)</c:v>
                </c:pt>
                <c:pt idx="5">
                  <c:v> прочие  транспортные происшествия (9)</c:v>
                </c:pt>
                <c:pt idx="6">
                  <c:v> другие (13)</c:v>
                </c:pt>
              </c:strCache>
            </c:strRef>
          </c:cat>
          <c:val>
            <c:numRef>
              <c:f>'к деятельности'!$D$2:$D$8</c:f>
              <c:numCache>
                <c:formatCode>0.0%</c:formatCode>
                <c:ptCount val="7"/>
                <c:pt idx="0">
                  <c:v>0.36899999999999999</c:v>
                </c:pt>
                <c:pt idx="1">
                  <c:v>0.19600000000000001</c:v>
                </c:pt>
                <c:pt idx="2">
                  <c:v>0.13100000000000001</c:v>
                </c:pt>
                <c:pt idx="3">
                  <c:v>0.113</c:v>
                </c:pt>
                <c:pt idx="4">
                  <c:v>5.8999999999999997E-2</c:v>
                </c:pt>
                <c:pt idx="5">
                  <c:v>5.3999999999999999E-2</c:v>
                </c:pt>
                <c:pt idx="6">
                  <c:v>7.6999999999999999E-2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деятельности'!$C$2:$C$8</c:f>
              <c:strCache>
                <c:ptCount val="7"/>
                <c:pt idx="0">
                  <c:v> падение потерпевшего (62)</c:v>
                </c:pt>
                <c:pt idx="1">
                  <c:v> воздействие движущихся, разлетающихся, вращающихся предметов, деталей (33)</c:v>
                </c:pt>
                <c:pt idx="2">
                  <c:v> дорожно-транспортные происшествия (22)</c:v>
                </c:pt>
                <c:pt idx="3">
                  <c:v> падение, обрушение конструкций зданий и сооружений, обвалы предметов, материалов, грунта (19)</c:v>
                </c:pt>
                <c:pt idx="4">
                  <c:v> телесные повреждения, нанесенные животными (10)</c:v>
                </c:pt>
                <c:pt idx="5">
                  <c:v> прочие  транспортные происшествия (9)</c:v>
                </c:pt>
                <c:pt idx="6">
                  <c:v> другие (13)</c:v>
                </c:pt>
              </c:strCache>
            </c:strRef>
          </c:cat>
          <c:val>
            <c:numRef>
              <c:f>'к деятельности'!$E$2:$E$8</c:f>
              <c:numCache>
                <c:formatCode>0</c:formatCode>
                <c:ptCount val="7"/>
                <c:pt idx="0">
                  <c:v>62</c:v>
                </c:pt>
                <c:pt idx="1">
                  <c:v>33</c:v>
                </c:pt>
                <c:pt idx="2">
                  <c:v>22</c:v>
                </c:pt>
                <c:pt idx="3" formatCode="General">
                  <c:v>19</c:v>
                </c:pt>
                <c:pt idx="4" formatCode="General">
                  <c:v>10</c:v>
                </c:pt>
                <c:pt idx="5" formatCode="General">
                  <c:v>9</c:v>
                </c:pt>
                <c:pt idx="6" formatCode="General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3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6216022596373847"/>
          <c:w val="1"/>
          <c:h val="0.3367264635122274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3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58777822448"/>
          <c:y val="0.10380979777931651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2778241638658008"/>
          <c:y val="0.30674545982835311"/>
          <c:w val="0.41577433812680448"/>
          <c:h val="0.4538064006915603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1.1153900262263056E-2"/>
                  <c:y val="-1.944957697170086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 (</a:t>
                    </a:r>
                    <a:r>
                      <a:rPr lang="en-US"/>
                      <a:t>10,1%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144058085768892E-3"/>
                  <c:y val="-4.40582579169169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2,2%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2363754660598007E-3"/>
                  <c:y val="-3.98274591764916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 (</a:t>
                    </a:r>
                    <a:r>
                      <a:rPr lang="en-US"/>
                      <a:t>19,6%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7004834864618888E-2"/>
                  <c:y val="9.270551296747903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36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26,1%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236296546954171E-3"/>
                  <c:y val="-0.1065296185740163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 (</a:t>
                    </a:r>
                    <a:r>
                      <a:rPr lang="en-US"/>
                      <a:t>15,9%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8692834699576326E-2"/>
                  <c:y val="-0.169600067991852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36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26,1%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0.10144927536231885</c:v>
                </c:pt>
                <c:pt idx="1">
                  <c:v>2.1739130434782608E-2</c:v>
                </c:pt>
                <c:pt idx="2">
                  <c:v>0.19565217391304349</c:v>
                </c:pt>
                <c:pt idx="3">
                  <c:v>0.2608695652173913</c:v>
                </c:pt>
                <c:pt idx="4">
                  <c:v>0.15942028985507245</c:v>
                </c:pt>
                <c:pt idx="5">
                  <c:v>0.2608695652173913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9.1836129179504733E-2"/>
          <c:y val="0.1619969209275197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960450595849443E-2"/>
          <c:y val="0.29997606068472216"/>
          <c:w val="0.36387820128512538"/>
          <c:h val="0.3952199169737978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 (</a:t>
                    </a:r>
                    <a:r>
                      <a:rPr lang="en-US"/>
                      <a:t>6,7%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528686383452832E-2"/>
                  <c:y val="5.073962384214236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 (</a:t>
                    </a:r>
                    <a:r>
                      <a:rPr lang="en-US"/>
                      <a:t>0,0%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986212865981326E-2"/>
                  <c:y val="-4.819265636376093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6 (</a:t>
                    </a:r>
                    <a:r>
                      <a:rPr lang="en-US"/>
                      <a:t>20,0%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882372502019247E-2"/>
                  <c:y val="7.7518663323970227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8 (</a:t>
                    </a:r>
                    <a:r>
                      <a:rPr lang="en-US"/>
                      <a:t>26,7%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676203518038508E-2"/>
                  <c:y val="-7.44154878870229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10,0%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1776817304173551"/>
                  <c:y val="-0.1418115355540821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>
                        <a:solidFill>
                          <a:srgbClr val="FF0000"/>
                        </a:solidFill>
                      </a:rPr>
                      <a:t>11 (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36,7%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6.6666666666666666E-2</c:v>
                </c:pt>
                <c:pt idx="1">
                  <c:v>0</c:v>
                </c:pt>
                <c:pt idx="2">
                  <c:v>0.2</c:v>
                </c:pt>
                <c:pt idx="3">
                  <c:v>0.26666666666666666</c:v>
                </c:pt>
                <c:pt idx="4">
                  <c:v>0.1</c:v>
                </c:pt>
                <c:pt idx="5">
                  <c:v>0.36666666666666664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2.8202996364583744E-4"/>
          <c:y val="0.75509376077735113"/>
          <c:w val="0.9997179700363541"/>
          <c:h val="0.24363412538034515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626031194001216"/>
          <c:y val="0.11024259394990724"/>
          <c:w val="0.41494454717266094"/>
          <c:h val="0.4558431476874030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3.1135689316736295E-2"/>
                  <c:y val="-0.16276416309847327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743272399200068E-2"/>
                  <c:y val="-7.035978258443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56881591907561E-2"/>
                  <c:y val="-3.1781648746754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6670072909042559E-2"/>
                  <c:y val="2.4036405098321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6821419131240039E-2"/>
                  <c:y val="-1.6487415349194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530090224878935E-2"/>
                  <c:y val="-1.8542761843122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5052800566332015E-2"/>
                  <c:y val="-4.0560879029566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7464707514037892E-2"/>
                  <c:y val="1.07514253852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нарушение потерпевшим требований безопасности (21,4%)</c:v>
                </c:pt>
                <c:pt idx="1">
                  <c:v>неудовлетворительная организация производства работ (17,3%)</c:v>
                </c:pt>
                <c:pt idx="2">
                  <c:v>нарушение порядка привлечения потерпевшего к выполнению работ (15,9%)</c:v>
                </c:pt>
                <c:pt idx="3">
                  <c:v>личная неосторожность потерпевших (15,0%)</c:v>
                </c:pt>
                <c:pt idx="4">
                  <c:v>необеспечение технологического процесса безопасности работающих (9,1%)</c:v>
                </c:pt>
                <c:pt idx="5">
                  <c:v>нарушение требований безопасности при эксплуатации машин, механизмов, оборудования, оснастки, инструмента, транспортных средств (4,1%)</c:v>
                </c:pt>
                <c:pt idx="6">
                  <c:v>необеспечение потерпевшего средствами индивидуальной защиты (2,3%)</c:v>
                </c:pt>
                <c:pt idx="7">
                  <c:v>прочие (15,0%)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0.214</c:v>
                </c:pt>
                <c:pt idx="1">
                  <c:v>0.17299999999999999</c:v>
                </c:pt>
                <c:pt idx="2">
                  <c:v>0.159</c:v>
                </c:pt>
                <c:pt idx="3">
                  <c:v>0.15</c:v>
                </c:pt>
                <c:pt idx="4">
                  <c:v>9.0999999999999998E-2</c:v>
                </c:pt>
                <c:pt idx="5">
                  <c:v>4.1000000000000002E-2</c:v>
                </c:pt>
                <c:pt idx="6">
                  <c:v>2.3E-2</c:v>
                </c:pt>
                <c:pt idx="7">
                  <c:v>0.15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нарушение потерпевшим требований безопасности (21,4%)</c:v>
                </c:pt>
                <c:pt idx="1">
                  <c:v>неудовлетворительная организация производства работ (17,3%)</c:v>
                </c:pt>
                <c:pt idx="2">
                  <c:v>нарушение порядка привлечения потерпевшего к выполнению работ (15,9%)</c:v>
                </c:pt>
                <c:pt idx="3">
                  <c:v>личная неосторожность потерпевших (15,0%)</c:v>
                </c:pt>
                <c:pt idx="4">
                  <c:v>необеспечение технологического процесса безопасности работающих (9,1%)</c:v>
                </c:pt>
                <c:pt idx="5">
                  <c:v>нарушение требований безопасности при эксплуатации машин, механизмов, оборудования, оснастки, инструмента, транспортных средств (4,1%)</c:v>
                </c:pt>
                <c:pt idx="6">
                  <c:v>необеспечение потерпевшего средствами индивидуальной защиты (2,3%)</c:v>
                </c:pt>
                <c:pt idx="7">
                  <c:v>прочие (15,0%)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>
                  <c:v>47</c:v>
                </c:pt>
                <c:pt idx="1">
                  <c:v>38</c:v>
                </c:pt>
                <c:pt idx="2">
                  <c:v>35</c:v>
                </c:pt>
                <c:pt idx="3">
                  <c:v>33</c:v>
                </c:pt>
                <c:pt idx="4">
                  <c:v>20</c:v>
                </c:pt>
                <c:pt idx="5">
                  <c:v>9</c:v>
                </c:pt>
                <c:pt idx="6" formatCode="General">
                  <c:v>5</c:v>
                </c:pt>
                <c:pt idx="7" formatCode="General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50" b="1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105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6004618434049935"/>
          <c:w val="0.99543298922782397"/>
          <c:h val="0.4389302117184834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7.2262365262594608E-2"/>
          <c:w val="0.45832724180505474"/>
          <c:h val="0.49996042486876641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244003902963573"/>
                  <c:y val="-0.14507957368877414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264175101584481E-2"/>
                  <c:y val="5.6500010129997544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6213829357029759E-2"/>
                  <c:y val="7.2101024930640217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6952058204980148E-2"/>
                  <c:y val="-0.111359438228875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529293893582263E-2"/>
                  <c:y val="-8.3477821284294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8150921132435042E-2"/>
                  <c:y val="-3.0779013008103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272048073103875"/>
                  <c:y val="2.815433333284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3672169483487537E-2"/>
                  <c:y val="5.823594136622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(35,2%)</c:v>
                </c:pt>
                <c:pt idx="1">
                  <c:v>исключительно по вине нанимателя (работодателя) (21,6%)</c:v>
                </c:pt>
                <c:pt idx="2">
                  <c:v>по вине самого потерпевшего, включая личную неосторожность (20,8%)</c:v>
                </c:pt>
                <c:pt idx="3">
                  <c:v>наличие смешанной ответственности нанимателя и потерпевшего (8,8%)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(4,0%)</c:v>
                </c:pt>
                <c:pt idx="5">
                  <c:v>по вине сторонних лиц (2,4%)</c:v>
                </c:pt>
                <c:pt idx="6">
                  <c:v>по вине работника нанимателя, не являющегося должностным лицом (1,6%)</c:v>
                </c:pt>
                <c:pt idx="7">
                  <c:v>другое (5,6%)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0.35199999999999998</c:v>
                </c:pt>
                <c:pt idx="1">
                  <c:v>0.216</c:v>
                </c:pt>
                <c:pt idx="2">
                  <c:v>0.20799999999999999</c:v>
                </c:pt>
                <c:pt idx="3">
                  <c:v>8.7999999999999995E-2</c:v>
                </c:pt>
                <c:pt idx="4">
                  <c:v>0.04</c:v>
                </c:pt>
                <c:pt idx="5">
                  <c:v>2.4E-2</c:v>
                </c:pt>
                <c:pt idx="6">
                  <c:v>1.6E-2</c:v>
                </c:pt>
                <c:pt idx="7">
                  <c:v>5.6000000000000001E-2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(35,2%)</c:v>
                </c:pt>
                <c:pt idx="1">
                  <c:v>исключительно по вине нанимателя (работодателя) (21,6%)</c:v>
                </c:pt>
                <c:pt idx="2">
                  <c:v>по вине самого потерпевшего, включая личную неосторожность (20,8%)</c:v>
                </c:pt>
                <c:pt idx="3">
                  <c:v>наличие смешанной ответственности нанимателя и потерпевшего (8,8%)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(4,0%)</c:v>
                </c:pt>
                <c:pt idx="5">
                  <c:v>по вине сторонних лиц (2,4%)</c:v>
                </c:pt>
                <c:pt idx="6">
                  <c:v>по вине работника нанимателя, не являющегося должностным лицом (1,6%)</c:v>
                </c:pt>
                <c:pt idx="7">
                  <c:v>другое (5,6%)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 formatCode="General">
                  <c:v>44</c:v>
                </c:pt>
                <c:pt idx="1">
                  <c:v>27</c:v>
                </c:pt>
                <c:pt idx="2">
                  <c:v>26</c:v>
                </c:pt>
                <c:pt idx="3" formatCode="General">
                  <c:v>11</c:v>
                </c:pt>
                <c:pt idx="4" formatCode="General">
                  <c:v>5</c:v>
                </c:pt>
                <c:pt idx="5" formatCode="General">
                  <c:v>3</c:v>
                </c:pt>
                <c:pt idx="6" formatCode="General">
                  <c:v>2</c:v>
                </c:pt>
                <c:pt idx="7" formatCode="General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650340484660944"/>
          <c:w val="1"/>
          <c:h val="0.4346764656608161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3085597284632614"/>
          <c:w val="0.98869461410781601"/>
          <c:h val="0.519904505087549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20</c:v>
                </c:pt>
                <c:pt idx="1">
                  <c:v>12</c:v>
                </c:pt>
                <c:pt idx="2">
                  <c:v>38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13</c:v>
                </c:pt>
                <c:pt idx="1">
                  <c:v>4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95394816"/>
        <c:axId val="95781632"/>
        <c:axId val="0"/>
      </c:bar3DChart>
      <c:catAx>
        <c:axId val="953948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781632"/>
        <c:crosses val="autoZero"/>
        <c:auto val="1"/>
        <c:lblAlgn val="ctr"/>
        <c:lblOffset val="100"/>
        <c:tickMarkSkip val="1"/>
        <c:noMultiLvlLbl val="0"/>
      </c:catAx>
      <c:valAx>
        <c:axId val="9578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5394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635034060048858"/>
          <c:w val="1"/>
          <c:h val="0.20800691821036821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</a:t>
            </a:r>
          </a:p>
        </c:rich>
      </c:tx>
      <c:layout>
        <c:manualLayout>
          <c:xMode val="edge"/>
          <c:yMode val="edge"/>
          <c:x val="0.30177780575683671"/>
          <c:y val="0.1383725250651709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945334308583655E-2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декабрь 2024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0519189592008086E-2"/>
                  <c:y val="-0.1899534217339480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131737491384858"/>
                  <c:y val="8.002128273037217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118486318376437"/>
                  <c:y val="-5.2867966815586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0.182</c:v>
                </c:pt>
                <c:pt idx="1">
                  <c:v>0.39500000000000002</c:v>
                </c:pt>
                <c:pt idx="2">
                  <c:v>0.42299999999999999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2025 год</a:t>
            </a:r>
          </a:p>
        </c:rich>
      </c:tx>
      <c:layout>
        <c:manualLayout>
          <c:xMode val="edge"/>
          <c:yMode val="edge"/>
          <c:x val="0.65067723809238809"/>
          <c:y val="0.14228737982337844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59943091225748"/>
          <c:y val="0.2517019764794594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декабрь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7.0134177153089505E-2"/>
                  <c:y val="-0.1708032076100984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627541884367264"/>
                  <c:y val="6.4939313525035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326268795839773"/>
                  <c:y val="2.6688708110381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0.16200000000000001</c:v>
                </c:pt>
                <c:pt idx="1">
                  <c:v>0.38400000000000001</c:v>
                </c:pt>
                <c:pt idx="2">
                  <c:v>0.45400000000000001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26127811371649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7.2614910739463356E-2"/>
          <c:w val="0.98359549068963004"/>
          <c:h val="0.43026052532159331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66</c:v>
                </c:pt>
                <c:pt idx="1">
                  <c:v>143</c:v>
                </c:pt>
                <c:pt idx="2">
                  <c:v>153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58</c:v>
                </c:pt>
                <c:pt idx="1">
                  <c:v>138</c:v>
                </c:pt>
                <c:pt idx="2">
                  <c:v>163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928374655647383E-2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3</c:v>
                </c:pt>
                <c:pt idx="1">
                  <c:v>9</c:v>
                </c:pt>
                <c:pt idx="2">
                  <c:v>18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24</c:v>
                </c:pt>
                <c:pt idx="1">
                  <c:v>41</c:v>
                </c:pt>
                <c:pt idx="2">
                  <c:v>52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27</c:v>
                </c:pt>
                <c:pt idx="1">
                  <c:v>53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95701248"/>
        <c:axId val="95719424"/>
        <c:axId val="0"/>
      </c:bar3DChart>
      <c:catAx>
        <c:axId val="9570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719424"/>
        <c:crosses val="autoZero"/>
        <c:auto val="1"/>
        <c:lblAlgn val="ctr"/>
        <c:lblOffset val="100"/>
        <c:tickMarkSkip val="1"/>
        <c:noMultiLvlLbl val="0"/>
      </c:catAx>
      <c:valAx>
        <c:axId val="957194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570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8936355937902738"/>
          <c:w val="1"/>
          <c:h val="0.3080045402203406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0101071719537599"/>
          <c:w val="1"/>
          <c:h val="0.302441760552600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прил.11'!$B$5:$B$8</c:f>
              <c:numCache>
                <c:formatCode>General</c:formatCode>
                <c:ptCount val="4"/>
                <c:pt idx="0">
                  <c:v>92</c:v>
                </c:pt>
                <c:pt idx="1">
                  <c:v>13</c:v>
                </c:pt>
                <c:pt idx="2">
                  <c:v>16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прил.11'!$C$5:$C$8</c:f>
              <c:numCache>
                <c:formatCode>General</c:formatCode>
                <c:ptCount val="4"/>
                <c:pt idx="0">
                  <c:v>80</c:v>
                </c:pt>
                <c:pt idx="1">
                  <c:v>16</c:v>
                </c:pt>
                <c:pt idx="2">
                  <c:v>13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прил.11'!$D$5:$D$8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00B05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прил.11'!$E$5:$E$8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2024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прил.11'!$F$5:$F$8</c:f>
              <c:numCache>
                <c:formatCode>General</c:formatCode>
                <c:ptCount val="4"/>
                <c:pt idx="0">
                  <c:v>19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прил.11'!$G$5:$G$8</c:f>
              <c:numCache>
                <c:formatCode>General</c:formatCode>
                <c:ptCount val="4"/>
                <c:pt idx="0">
                  <c:v>25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96153984"/>
        <c:axId val="96155520"/>
        <c:axId val="0"/>
      </c:bar3DChart>
      <c:catAx>
        <c:axId val="96153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6155520"/>
        <c:crosses val="autoZero"/>
        <c:auto val="1"/>
        <c:lblAlgn val="ctr"/>
        <c:lblOffset val="100"/>
        <c:tickMarkSkip val="1"/>
        <c:noMultiLvlLbl val="0"/>
      </c:catAx>
      <c:valAx>
        <c:axId val="96155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615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55743241640659E-5"/>
          <c:y val="0.68355335059293976"/>
          <c:w val="0.99992314044856545"/>
          <c:h val="0.31644657874334919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17611495344632858"/>
          <c:w val="0.99309179810467618"/>
          <c:h val="0.6989320392224159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весу'!$B$3:$B$10</c:f>
              <c:strCache>
                <c:ptCount val="8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Воложинский
район</c:v>
                </c:pt>
                <c:pt idx="3">
                  <c:v>Крупский
район</c:v>
                </c:pt>
                <c:pt idx="4">
                  <c:v>Логойский
район</c:v>
                </c:pt>
                <c:pt idx="5">
                  <c:v>Любанский
район</c:v>
                </c:pt>
                <c:pt idx="6">
                  <c:v>Молодечненский
район</c:v>
                </c:pt>
                <c:pt idx="7">
                  <c:v>Мядельский
район</c:v>
                </c:pt>
              </c:strCache>
            </c:strRef>
          </c:cat>
          <c:val>
            <c:numRef>
              <c:f>'кудельному весу'!$C$3:$C$10</c:f>
              <c:numCache>
                <c:formatCode>0.0</c:formatCode>
                <c:ptCount val="8"/>
                <c:pt idx="0">
                  <c:v>14.17</c:v>
                </c:pt>
                <c:pt idx="1">
                  <c:v>6.87</c:v>
                </c:pt>
                <c:pt idx="2">
                  <c:v>6.86</c:v>
                </c:pt>
                <c:pt idx="3">
                  <c:v>6.66</c:v>
                </c:pt>
                <c:pt idx="4">
                  <c:v>11.25</c:v>
                </c:pt>
                <c:pt idx="5">
                  <c:v>20.95</c:v>
                </c:pt>
                <c:pt idx="6">
                  <c:v>6.58</c:v>
                </c:pt>
                <c:pt idx="7">
                  <c:v>7.55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96421376"/>
        <c:axId val="96422912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945806562597449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'кудельному весу'!$D$3:$D$10</c:f>
              <c:numCache>
                <c:formatCode>0.0</c:formatCode>
                <c:ptCount val="8"/>
                <c:pt idx="0">
                  <c:v>6.01</c:v>
                </c:pt>
                <c:pt idx="1">
                  <c:v>6.01</c:v>
                </c:pt>
                <c:pt idx="2">
                  <c:v>6.01</c:v>
                </c:pt>
                <c:pt idx="3">
                  <c:v>6.01</c:v>
                </c:pt>
                <c:pt idx="4">
                  <c:v>6.01</c:v>
                </c:pt>
                <c:pt idx="5">
                  <c:v>6.01</c:v>
                </c:pt>
                <c:pt idx="6">
                  <c:v>6.01</c:v>
                </c:pt>
                <c:pt idx="7">
                  <c:v>6.01</c:v>
                </c:pt>
              </c:numCache>
            </c:numRef>
          </c:cat>
          <c:val>
            <c:numRef>
              <c:f>'кудельному весу'!$D$3:$D$10</c:f>
              <c:numCache>
                <c:formatCode>0.0</c:formatCode>
                <c:ptCount val="8"/>
                <c:pt idx="0">
                  <c:v>6.01</c:v>
                </c:pt>
                <c:pt idx="1">
                  <c:v>6.01</c:v>
                </c:pt>
                <c:pt idx="2">
                  <c:v>6.01</c:v>
                </c:pt>
                <c:pt idx="3">
                  <c:v>6.01</c:v>
                </c:pt>
                <c:pt idx="4">
                  <c:v>6.01</c:v>
                </c:pt>
                <c:pt idx="5">
                  <c:v>6.01</c:v>
                </c:pt>
                <c:pt idx="6">
                  <c:v>6.01</c:v>
                </c:pt>
                <c:pt idx="7">
                  <c:v>6.01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441088"/>
        <c:axId val="96442624"/>
      </c:lineChart>
      <c:catAx>
        <c:axId val="96421376"/>
        <c:scaling>
          <c:orientation val="minMax"/>
        </c:scaling>
        <c:delete val="0"/>
        <c:axPos val="b"/>
        <c:numFmt formatCode="0.0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64229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64229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96421376"/>
        <c:crosses val="autoZero"/>
        <c:crossBetween val="between"/>
      </c:valAx>
      <c:catAx>
        <c:axId val="96441088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96442624"/>
        <c:crosses val="autoZero"/>
        <c:auto val="0"/>
        <c:lblAlgn val="ctr"/>
        <c:lblOffset val="100"/>
        <c:noMultiLvlLbl val="0"/>
      </c:catAx>
      <c:valAx>
        <c:axId val="9644262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964410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1274930236490198"/>
          <c:w val="0.98962379702537184"/>
          <c:h val="0.320230617140316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весу'!$B$3:$B$10</c:f>
              <c:strCache>
                <c:ptCount val="8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Смолевичский
район</c:v>
                </c:pt>
                <c:pt idx="3">
                  <c:v>Солигорский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Узденский
район</c:v>
                </c:pt>
                <c:pt idx="7">
                  <c:v>г.Жодино</c:v>
                </c:pt>
              </c:strCache>
            </c:strRef>
          </c:cat>
          <c:val>
            <c:numRef>
              <c:f>'кудельному весу'!$C$3:$C$10</c:f>
              <c:numCache>
                <c:formatCode>0.0</c:formatCode>
                <c:ptCount val="8"/>
                <c:pt idx="0">
                  <c:v>7.18</c:v>
                </c:pt>
                <c:pt idx="1">
                  <c:v>9.6199999999999992</c:v>
                </c:pt>
                <c:pt idx="2">
                  <c:v>8.56</c:v>
                </c:pt>
                <c:pt idx="3">
                  <c:v>6.96</c:v>
                </c:pt>
                <c:pt idx="4">
                  <c:v>9.2899999999999991</c:v>
                </c:pt>
                <c:pt idx="5">
                  <c:v>9.07</c:v>
                </c:pt>
                <c:pt idx="6">
                  <c:v>6.32</c:v>
                </c:pt>
                <c:pt idx="7">
                  <c:v>7.62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96192000"/>
        <c:axId val="96193536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0.26582275790130183"/>
                  <c:y val="-4.3355352704468558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весу'!$B$3:$B$10</c:f>
              <c:strCache>
                <c:ptCount val="8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Смолевичский
район</c:v>
                </c:pt>
                <c:pt idx="3">
                  <c:v>Солигорский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Узденский
район</c:v>
                </c:pt>
                <c:pt idx="7">
                  <c:v>г.Жодино</c:v>
                </c:pt>
              </c:strCache>
            </c:strRef>
          </c:cat>
          <c:val>
            <c:numRef>
              <c:f>'кудельному весу'!$D$3:$D$10</c:f>
              <c:numCache>
                <c:formatCode>0.00</c:formatCode>
                <c:ptCount val="8"/>
                <c:pt idx="0">
                  <c:v>6.01</c:v>
                </c:pt>
                <c:pt idx="1">
                  <c:v>6.01</c:v>
                </c:pt>
                <c:pt idx="2">
                  <c:v>6.01</c:v>
                </c:pt>
                <c:pt idx="3">
                  <c:v>6.01</c:v>
                </c:pt>
                <c:pt idx="4">
                  <c:v>6.01</c:v>
                </c:pt>
                <c:pt idx="5">
                  <c:v>6.01</c:v>
                </c:pt>
                <c:pt idx="6">
                  <c:v>6.01</c:v>
                </c:pt>
                <c:pt idx="7">
                  <c:v>6.01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33440"/>
        <c:axId val="98334976"/>
      </c:lineChart>
      <c:catAx>
        <c:axId val="96192000"/>
        <c:scaling>
          <c:orientation val="minMax"/>
        </c:scaling>
        <c:delete val="0"/>
        <c:axPos val="b"/>
        <c:numFmt formatCode="0.0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61935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619353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96192000"/>
        <c:crosses val="autoZero"/>
        <c:crossBetween val="between"/>
      </c:valAx>
      <c:catAx>
        <c:axId val="9833344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98334976"/>
        <c:crosses val="autoZero"/>
        <c:auto val="0"/>
        <c:lblAlgn val="ctr"/>
        <c:lblOffset val="100"/>
        <c:noMultiLvlLbl val="0"/>
      </c:catAx>
      <c:valAx>
        <c:axId val="9833497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9833344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9078584803067842E-2"/>
          <c:y val="0.72942482675889175"/>
          <c:w val="0.93129603475056955"/>
          <c:h val="0.2705752543215396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78753498300145"/>
          <c:w val="1"/>
          <c:h val="0.437561586428278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2024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9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2.699762384935097E-2"/>
                  <c:y val="4.814376414885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9</c:v>
                </c:pt>
                <c:pt idx="1">
                  <c:v>8</c:v>
                </c:pt>
                <c:pt idx="2">
                  <c:v>11</c:v>
                </c:pt>
                <c:pt idx="3">
                  <c:v>6</c:v>
                </c:pt>
                <c:pt idx="4">
                  <c:v>10</c:v>
                </c:pt>
                <c:pt idx="5">
                  <c:v>11</c:v>
                </c:pt>
                <c:pt idx="6">
                  <c:v>18</c:v>
                </c:pt>
                <c:pt idx="7">
                  <c:v>5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96272384"/>
        <c:axId val="96273920"/>
        <c:axId val="0"/>
      </c:bar3DChart>
      <c:catAx>
        <c:axId val="96272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-1800000" vert="horz" anchor="t" anchorCtr="0"/>
          <a:lstStyle/>
          <a:p>
            <a:pPr>
              <a:defRPr sz="8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6273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273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6272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8784832208377824E-3"/>
          <c:y val="0.83916593395736028"/>
          <c:w val="0.99243919361646005"/>
          <c:h val="0.16083399182251726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8756"/>
          <a:ext cx="6114438" cy="1030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2.71284E-7</cdr:y>
    </cdr:from>
    <cdr:to>
      <cdr:x>0.96473</cdr:x>
      <cdr:y>0.13954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980" y="1"/>
          <a:ext cx="5777770" cy="514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2025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6802" y="146755"/>
          <a:ext cx="5261939" cy="481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6.2455E-7</cdr:y>
    </cdr:from>
    <cdr:to>
      <cdr:x>1</cdr:x>
      <cdr:y>0.19943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2"/>
          <a:ext cx="6115050" cy="6386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0.20285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3322"/>
          <a:ext cx="6115050" cy="6585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BC4A-4861-4DD1-B4BA-A2F4CB86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Новиков Владимир Николаевич</cp:lastModifiedBy>
  <cp:revision>3</cp:revision>
  <cp:lastPrinted>2026-01-22T07:08:00Z</cp:lastPrinted>
  <dcterms:created xsi:type="dcterms:W3CDTF">2026-01-22T08:19:00Z</dcterms:created>
  <dcterms:modified xsi:type="dcterms:W3CDTF">2026-01-22T08:40:00Z</dcterms:modified>
</cp:coreProperties>
</file>