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D1A2" w14:textId="63258034" w:rsidR="00D43E3F" w:rsidRPr="00837051" w:rsidRDefault="00837051" w:rsidP="00837051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ИНФОРМАЦИЯ</w:t>
      </w:r>
    </w:p>
    <w:p w14:paraId="0F053127" w14:textId="17937E34" w:rsidR="00837051" w:rsidRPr="00837051" w:rsidRDefault="00837051" w:rsidP="00837051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о социально-экономическом развитии Минской области к единому дню информирования на тему «Современные подходы к развитию регионов: от экономики </w:t>
      </w:r>
      <w:r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до социальной инфраструктуры»</w:t>
      </w:r>
    </w:p>
    <w:p w14:paraId="677C1329" w14:textId="77777777" w:rsidR="00D43E3F" w:rsidRPr="00837051" w:rsidRDefault="00D43E3F" w:rsidP="00837051">
      <w:pPr>
        <w:widowControl w:val="0"/>
        <w:spacing w:after="0" w:line="360" w:lineRule="auto"/>
        <w:ind w:right="5103" w:firstLine="720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4B84F997" w14:textId="77777777" w:rsidR="00BF79A3" w:rsidRPr="00FF45A9" w:rsidRDefault="009C73A8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Основные достижения региона по итогам выполнения государственных программ, реализованных в 2021–2025 годах, иных нормативных документов, направленных на развитие белорусских регионов</w:t>
      </w:r>
    </w:p>
    <w:p w14:paraId="0DEA952D" w14:textId="77777777" w:rsidR="00605091" w:rsidRPr="00FF45A9" w:rsidRDefault="00605091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FF73D7D" w14:textId="3BAB8294" w:rsidR="00356314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По объемам розничного товарооборота Минская область </w:t>
      </w:r>
      <w:r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лидирует среди областей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(доля в объеме розничного товарооборота страны за 2021 – 2025 годы – 17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1AFE9B1C" w14:textId="73B27F42" w:rsidR="00356314" w:rsidRPr="00FF45A9" w:rsidRDefault="00356314" w:rsidP="00837051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розничного товарооборота области составил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121,6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сопоставимых ценах к уровню 2020 года. </w:t>
      </w:r>
    </w:p>
    <w:p w14:paraId="34914B94" w14:textId="77777777" w:rsidR="00356314" w:rsidRPr="00FF45A9" w:rsidRDefault="00356314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Розничный товарооборот на душу населения начиная с 2020 года превышает среднереспубликанское значение (за 2024 год по Минской области – 10,5 тыс. рублей, по Республике Беларусь – 10,1 тыс. рублей).</w:t>
      </w:r>
    </w:p>
    <w:p w14:paraId="25C2CA83" w14:textId="0AEC19B2" w:rsidR="00FF2812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текущем пятилетии рентабельность продаж (без учета субъектов малого предпринимательства) по Минской области превышала среднереспубликанское значение: в 2021 году – 11,9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–8,3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2022 году – 12,8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8,6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в 2023 году –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10,1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2024 году – 9,6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A23685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(по республике – 6,2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</w:t>
      </w:r>
      <w:r w:rsidR="00B53AA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 2025 год – 9,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076DD496" w14:textId="7675F19B" w:rsidR="00356314" w:rsidRPr="00FF45A9" w:rsidRDefault="00356314" w:rsidP="00837051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 2021 по 2025 год совокупные поступления доходов консолидированного бюджета Минской области увеличились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в 2,4 раза. </w:t>
      </w:r>
    </w:p>
    <w:p w14:paraId="2ABD8EF9" w14:textId="70234114" w:rsidR="00B53AAE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За прошедшее пятилетие обеспечено выполнение предусмотренных Программой социально-экономического развития Минской области </w:t>
      </w:r>
      <w:r w:rsidR="00BB0E47"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до 2025 года целевых показателей по росту номинальной начисленной среднемесячной заработной платы и совокупных поступлений доходов консолидированного бюджета области. Выполнены показатели по индексу промышленного производства, производства продукции сельского хозяйства в сельскохозяйственных организациях, пассажирооборота, реальной заработной платы, по объему введенного в эксплуатацию жилья.</w:t>
      </w:r>
    </w:p>
    <w:p w14:paraId="430AE29C" w14:textId="5FDB4BB4" w:rsidR="004E55DA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Высокие результаты в сфере социально-экономического развития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текущем пятилетии </w:t>
      </w:r>
      <w:r w:rsidRPr="00FF45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отмечены Президентом Республики Беларусь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занесением Минской области на Республиканскую доску Почета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(указы Президента Республики Беларусь от 26 апреля 2022 г. № 153,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от 24 апреля 2024 г. № 174, от 23 апреля 2025 г. № 168).</w:t>
      </w:r>
    </w:p>
    <w:p w14:paraId="6771EF27" w14:textId="77777777" w:rsidR="00292722" w:rsidRPr="00FF45A9" w:rsidRDefault="00292722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325B5AB" w14:textId="77777777" w:rsidR="001413C7" w:rsidRPr="00FF45A9" w:rsidRDefault="001413C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5CD8FE49" w14:textId="1BAF6796" w:rsidR="00E019C9" w:rsidRPr="00FF45A9" w:rsidRDefault="00421508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  <w:r w:rsidRPr="00FF45A9">
        <w:rPr>
          <w:b/>
          <w:bCs/>
          <w:color w:val="000000"/>
          <w:sz w:val="30"/>
          <w:szCs w:val="30"/>
        </w:rPr>
        <w:lastRenderedPageBreak/>
        <w:t>Д</w:t>
      </w:r>
      <w:r w:rsidR="009C73A8" w:rsidRPr="00FF45A9">
        <w:rPr>
          <w:b/>
          <w:bCs/>
          <w:color w:val="000000"/>
          <w:sz w:val="30"/>
          <w:szCs w:val="30"/>
        </w:rPr>
        <w:t>инамика валового регионального продукта, региональные показатели в промышленности, сельском хозяйстве, жилищном строительстве, торговле (за период 2021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–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2025 гг.</w:t>
      </w:r>
      <w:r w:rsidR="0010351D" w:rsidRPr="00FF45A9">
        <w:rPr>
          <w:b/>
          <w:bCs/>
          <w:color w:val="000000"/>
          <w:sz w:val="30"/>
          <w:szCs w:val="30"/>
        </w:rPr>
        <w:t>)</w:t>
      </w:r>
    </w:p>
    <w:p w14:paraId="1A8B9DF6" w14:textId="77777777" w:rsidR="00E019C9" w:rsidRPr="00FF45A9" w:rsidRDefault="00E019C9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4C090824" w14:textId="0BA02A83" w:rsidR="002521D7" w:rsidRPr="00FF45A9" w:rsidRDefault="002521D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FF45A9">
        <w:rPr>
          <w:bCs/>
          <w:color w:val="000000"/>
          <w:sz w:val="30"/>
          <w:szCs w:val="30"/>
          <w:lang w:eastAsia="ru-RU"/>
        </w:rPr>
        <w:t xml:space="preserve">Минская область по итогам социально-экономического развития </w:t>
      </w:r>
      <w:r w:rsidRPr="00FF45A9">
        <w:rPr>
          <w:bCs/>
          <w:color w:val="000000"/>
          <w:sz w:val="30"/>
          <w:szCs w:val="30"/>
          <w:lang w:eastAsia="ru-RU"/>
        </w:rPr>
        <w:br/>
        <w:t xml:space="preserve">за 2021 – 2025 годы достигла определенных результатов и внесла </w:t>
      </w:r>
      <w:r w:rsidRPr="00FF45A9">
        <w:rPr>
          <w:b/>
          <w:color w:val="000000"/>
          <w:sz w:val="30"/>
          <w:szCs w:val="30"/>
          <w:lang w:eastAsia="ru-RU"/>
        </w:rPr>
        <w:t>существенный вклад</w:t>
      </w:r>
      <w:r w:rsidRPr="00FF45A9">
        <w:rPr>
          <w:bCs/>
          <w:color w:val="000000"/>
          <w:sz w:val="30"/>
          <w:szCs w:val="30"/>
          <w:lang w:eastAsia="ru-RU"/>
        </w:rPr>
        <w:t xml:space="preserve"> в экономику страны.</w:t>
      </w:r>
    </w:p>
    <w:p w14:paraId="6B1956FF" w14:textId="3CB7428B" w:rsidR="00C317BC" w:rsidRPr="00FF45A9" w:rsidRDefault="00B5792D" w:rsidP="008370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формировано около 19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валового внутреннего продукта республики. 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валового регионального продукта Минской области </w:t>
      </w:r>
      <w:r w:rsidR="00BB0E4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="00075A02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за 2021 – 2025 годы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составил 108,9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2FA3EF53" w14:textId="77777777" w:rsidR="00BF79A3" w:rsidRPr="00FF45A9" w:rsidRDefault="00755E08" w:rsidP="0083705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О показателях промышленного комплекса </w:t>
      </w:r>
    </w:p>
    <w:p w14:paraId="5086AE1C" w14:textId="3F210610" w:rsidR="002521D7" w:rsidRPr="00FF45A9" w:rsidRDefault="002521D7" w:rsidP="00837051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прошедшем пятилетии областью обеспечен выпуск наибольшего объема промышленной продукции (21,7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1413C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объема промышленного производства страны).</w:t>
      </w:r>
    </w:p>
    <w:p w14:paraId="59D24621" w14:textId="4BA11DB3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30"/>
          <w:szCs w:val="30"/>
          <w:lang w:eastAsia="ru-RU"/>
          <w14:ligatures w14:val="none"/>
        </w:rPr>
      </w:pPr>
      <w:bookmarkStart w:id="0" w:name="_Hlk221015369"/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производства продукции промышленности области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>за 2021 – 2025 годы составил 115,7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 превысил среднереспубликанское значение на 3,4</w:t>
      </w:r>
      <w:r w:rsidR="00CC76F0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процентного пункта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</w:p>
    <w:bookmarkEnd w:id="0"/>
    <w:p w14:paraId="79CFEE68" w14:textId="31C9897B" w:rsidR="001413C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Снизилась зависимость отрасли промышленности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от валообразующих организаций (ОАО «Беларуськалий»,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«БЕЛАЗ» – управляющая компания холдинга «БЕЛАЗ-ХОЛДИНГ»), в 2021 году их доля в объеме промышленного производства области составляла 23,7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 в 2025 году – 15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17045838" w14:textId="02DBF70C" w:rsidR="002521D7" w:rsidRPr="00FF45A9" w:rsidRDefault="002521D7" w:rsidP="00837051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рынок вышли другие предприятия, способные достойно конкурировать с гигантами. ЗАО «БЕЛДЖИ» 3а 2021 – 2025 годы выпущено более 277 тыс. легковых автомобилей.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14:ligatures w14:val="none"/>
        </w:rPr>
        <w:t>ЗАО «БНБК» осуществляет выпуск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уникальных для страны премиксов, аминокислот, комбикормов и других продуктов для сельского хозяйства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с использованием биотехнологий.</w:t>
      </w:r>
    </w:p>
    <w:p w14:paraId="1CB918D0" w14:textId="2CE1AAFA" w:rsidR="002521D7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Существенный вклад в промышленность региона вносят коммунальные предприятия, обеспечивающие продовольственную безопасность страны. В молочной отрасли налажено производство 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по выпуску сыра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Camamber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val="en-US" w:eastAsia="ru-RU"/>
          <w14:ligatures w14:val="none"/>
        </w:rPr>
        <w:t>t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 белой плесенью на Вилейском производственном участке ОАО «Минский молочный завод № 1», увеличены мощности по производству сыров с голубой плесенью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 xml:space="preserve">на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Нарочанском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производственном участке ОАО «Минский молочный завод № 1», </w:t>
      </w:r>
      <w:r w:rsidRPr="00FF45A9"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>реализован инновационный проект по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производству сухого молока с капиллярно-пористой структурой ОАО «Слуцкий сыродельный комбинат» (Копыльский филиал).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Любанском филиале ОАО «Слуцкий сыродельный комбинат» реализован проект модернизации цеха производства сычужных сыров.</w:t>
      </w:r>
    </w:p>
    <w:p w14:paraId="03F9AD72" w14:textId="4BA12E8C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фармацевтической отрасли успешно реализованы такие проекты, как строительство фармацевтического завода соответствующего правилам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 xml:space="preserve">надлежащей производственной практики (GMP) СООО «Научно-производственный центр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БелАгроГен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г.п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. Смиловичи иностранным унитарным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Реб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-Фарма»,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строительство здания по производству лекарственных средств в Несвижском районе иностранным производственным унитарным предприятием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«Мед-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интерпласт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».</w:t>
      </w:r>
    </w:p>
    <w:p w14:paraId="01D68BF0" w14:textId="77777777" w:rsidR="00BF79A3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Производство импортозамещающей продукции в 2025 году увеличилось к уровню 2020 года в 2,8 раза и составило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br/>
        <w:t>3,2 млрд долларов США. Всего за прошедшее пятилетие произведено импортозамещающей продукции на сумму 12,2 млрд долларов США.</w:t>
      </w:r>
    </w:p>
    <w:p w14:paraId="5161E6D6" w14:textId="77777777" w:rsidR="00BF79A3" w:rsidRPr="00FF45A9" w:rsidRDefault="00373E20" w:rsidP="008370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сельского хозяйства</w:t>
      </w:r>
    </w:p>
    <w:p w14:paraId="3E5814AE" w14:textId="3FAC55BC" w:rsidR="007034D6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годы индекс производства продукции сельского хозяйства в сопоставимых ценах в сельскохозяйственных организациях, включая крестьянские (фермерские) хозяйства, Минской области составил 107,1</w:t>
      </w:r>
      <w:bookmarkStart w:id="1" w:name="_Hlk221200587"/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bookmarkEnd w:id="1"/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8E13A08" w14:textId="2E69FDD5" w:rsidR="0014565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2025 год увеличилось производство молока на 5,7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 2024 году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составило 2339,4 тыс. тонн, что является наивысшим результатом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последнюю пятилетку, крупного рогатого скота на 3,1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(160,5 тыс. тонн), птицы на 3,5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(268,6 тыс. тонн).</w:t>
      </w:r>
    </w:p>
    <w:p w14:paraId="2CE55A43" w14:textId="12C880D5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Среднесуточный привес крупного рогатого скота на выращивании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откорме увеличился на 31 грамм к 2024 году, на 74 грамма к 2020 году,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составил 721 грамм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40BD1A9" w14:textId="605D524F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Средний удой молока от коровы за 2025 год составил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7178 килограммов и по сравнению с 2024 годом увеличился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на 348 килограммов (на 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), на 1864 килограмма (на 35,1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 к 2020 году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093FD9" w14:textId="77777777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сельскохозяйственных организациях, включая крестьянские (фермерские) хозяйства, достигнут наивысший уровень урожайности зерновых и зернобобовых культур за последнюю пятилетку – 44,7 центнера с гектара (в 2020 году – 39 центнеров с гектара)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CD7CFA" w14:textId="5AA3A950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Намолочено маслосемян рапса 257,9 тыс. тонн, что превышает уровень 2020 года на 27,6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F93DC80" w14:textId="4EEA4301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основу Программы социально-экономического развития Минской области на 2026 – 2030 </w:t>
      </w:r>
      <w:r w:rsidR="00B53AAE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годы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отрасли сельского хозяйства заложено повышение эффективности агропромышленного комплекса, а также развитие конкурентоспособного и экологически безопасного сельского хозяйства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2CC9303" w14:textId="5D30C5C3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Задачами для повышения эффективности сельскохозяйственного производства являются: внедрение инновационных методов и технологий, минимизирующих затраты, с целью увеличения объемов производимой сельскохозяйственной продукции, а также цифровая трансформация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сельского хозяйства, специализация,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интенсификация и концентрация сельскохозяйственного производства с учетом оптимального использования потенциала каждого района</w:t>
      </w:r>
      <w:r w:rsidR="00835CBB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B6A201" w14:textId="772B96F8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Продуктивность дойного стада планируется довести по итогам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 свыше 8200 к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илограммов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молока на корову, а также улучшить качество производимого молока.</w:t>
      </w:r>
    </w:p>
    <w:p w14:paraId="0EB3B757" w14:textId="1535D04E" w:rsidR="00BF79A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Будет продолжена работа по строительству новых (возведению, реконструкции) молочно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товарных</w:t>
      </w:r>
      <w:r w:rsidR="001B676B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комплексов, помещений для содержания крупного рогатого скота (профилакториев), внедрению цифровых технологий в животноводство, строительству автоматизированных и роботизированных животноводческих комплексов </w:t>
      </w:r>
      <w:r w:rsidR="00837051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увеличени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дойного стада крупного рогатого скота, содержащегося на современных молочно-товарных комплексах.</w:t>
      </w:r>
    </w:p>
    <w:p w14:paraId="0759D411" w14:textId="77777777" w:rsidR="00BF79A3" w:rsidRPr="00FF45A9" w:rsidRDefault="002521D7" w:rsidP="0083705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жилищном строительстве</w:t>
      </w:r>
    </w:p>
    <w:p w14:paraId="78D05574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 2015 года в Минской области </w:t>
      </w:r>
      <w:r w:rsidRPr="00FF45A9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больше, чем в других регионах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страны строилось жилья. </w:t>
      </w:r>
    </w:p>
    <w:p w14:paraId="6740A511" w14:textId="7088DF9A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>За 2021 – 2025 годы построено 6147,4 тыс. кв</w:t>
      </w:r>
      <w:r w:rsidR="00BF79A3"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м жилья,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или б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олее 28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 всего введенного в эксплуатацию жилья 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br/>
        <w:t xml:space="preserve">по стране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(Программой социально-экономического развития Минской области на период до 2025 года предусмотрен ввод в эксплуатацию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за 5 лет 4395 тыс. кв. м жилья).</w:t>
      </w:r>
    </w:p>
    <w:p w14:paraId="50F019E4" w14:textId="5E4BB0C3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x-none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2025 году построено 29,6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="00BF79A3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всего объема введенного </w:t>
      </w:r>
      <w:r w:rsidR="00BB0E47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эксплуатацию жилья в стране –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>1353,5</w:t>
      </w:r>
      <w:r w:rsidRPr="00FF45A9">
        <w:rPr>
          <w:rFonts w:ascii="Times New Roman" w:hAnsi="Times New Roman" w:cs="Times New Roman"/>
          <w:bCs/>
          <w:sz w:val="30"/>
          <w:szCs w:val="30"/>
          <w:lang w:val="x-none" w:eastAsia="x-none"/>
        </w:rPr>
        <w:t xml:space="preserve"> тыс. кв. м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br/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>или 103,4</w:t>
      </w:r>
      <w:r w:rsidR="00BF79A3" w:rsidRPr="00FF45A9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 xml:space="preserve"> к 2024 году, в том числе в сельской местности – 986,6 тыс. кв. м,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или 103,9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к 2024 году. </w:t>
      </w:r>
    </w:p>
    <w:p w14:paraId="32842038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жильем в Минской области </w:t>
      </w:r>
      <w:r w:rsidRPr="00FF45A9">
        <w:rPr>
          <w:rFonts w:ascii="Times New Roman" w:hAnsi="Times New Roman" w:cs="Times New Roman"/>
          <w:b/>
          <w:sz w:val="30"/>
          <w:szCs w:val="30"/>
          <w:lang w:eastAsia="ru-RU"/>
        </w:rPr>
        <w:t>самая высокая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среди регионов страны, она увеличилась с 31,2 кв. м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в 2020 году до 33,9 кв. м на 1 жителя в 2024 году</w:t>
      </w:r>
      <w:r w:rsidRPr="00FF45A9"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93E8C5B" w14:textId="77777777" w:rsidR="00BF79A3" w:rsidRPr="00FF45A9" w:rsidRDefault="00233E9E" w:rsidP="00837051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системы торговли и услуг</w:t>
      </w:r>
    </w:p>
    <w:p w14:paraId="5634C9ED" w14:textId="21AC266A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области функционируют порядка 13 655 розничных торговых объектов (оперативные данные с учетом данных Белстата),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в сельской местности – 5 421 торговы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объект, 2 656 объектов общественного питания, в том числе в сельской местности – 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159.</w:t>
      </w:r>
    </w:p>
    <w:p w14:paraId="649C7A6C" w14:textId="644A7FDB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на территории Минской области открыт 291 магазин,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67 – в сельской местности, 124 объекта общественного питания, в том числе 27 – в сельской местности.</w:t>
      </w:r>
    </w:p>
    <w:p w14:paraId="63E1444C" w14:textId="4363F90F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Результаты работы 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отрасли торговли и общественного питания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2021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 имеют положительную динамику.</w:t>
      </w:r>
    </w:p>
    <w:p w14:paraId="6CD15A39" w14:textId="77777777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Основное влияние на формирование розничного товарооборота области в 2021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оказали организации торговли. Удельный вес розничного товарооборота торговых организаций в розничном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товарообороте области за 2025 год составил 97,0%, индивидуальных предпринимателей и физических лиц – 3,0%.</w:t>
      </w:r>
    </w:p>
    <w:p w14:paraId="57B90084" w14:textId="77777777" w:rsidR="00292722" w:rsidRPr="00FF45A9" w:rsidRDefault="00233E9E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</w:t>
      </w:r>
      <w:r w:rsidR="00BB17ED" w:rsidRPr="00FF45A9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темп роста розничного товарооборота торговли через все каналы реализации Минской области увеличился на 21,6% в сопоставимых ценах по отношению к 2020 году, темп роста товарооборота общественного питания за указанный период увеличился на 55,1%, оптового товарооборота – на 1,9%</w:t>
      </w:r>
      <w:r w:rsidR="00477C1F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A77349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Объем розничного товарооборота торговли через все каналы реализации по Минской области за 2025 год составил 17 482,9 млн ру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б.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или 106,7% к соответствующему периоду прошлого года в сопоставимых ценах при доведенном на 2025 год показателе 104,6%.</w:t>
      </w:r>
    </w:p>
    <w:p w14:paraId="77881BA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Организациями торговли области в 2025 году населению продано продовольственных товаров на сумму 8 514,3 млн руб. (темп роста 100,7%), непродовольственных товаров – на 8 436,2 млн руб. (113,9%).</w:t>
      </w:r>
    </w:p>
    <w:p w14:paraId="5EE4C5A7" w14:textId="6D569AF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торговой площадью: на 1 тысячу человек составила 911,26 тыс. кв м (при нормативе 610 кв. м) и выполнена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как в целом по области, так и во всех регионах Минской области.</w:t>
      </w:r>
    </w:p>
    <w:p w14:paraId="1B333185" w14:textId="2E8348B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местами в общедоступных объектах общественного питания: на 1 тысячу человек составила 44 места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(при нормативе 42 места) и выполнена как в целом по области, так и во всех регионах Минской области.</w:t>
      </w:r>
    </w:p>
    <w:p w14:paraId="46CD5512" w14:textId="7C1DB845" w:rsidR="00373E20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2026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годах меры по развитию потребительского рынка Минской области будут направлены на сохранение сложившейся инфраструктуры и ее дальнейшее совершенствование, увеличени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отечественных товаров в общем объеме розничного товарооборота, удовлетворение платежеспособного спроса населения на потребительские товары и услуги.</w:t>
      </w:r>
    </w:p>
    <w:p w14:paraId="04A8E3A5" w14:textId="77777777" w:rsidR="00292722" w:rsidRPr="00FF45A9" w:rsidRDefault="00292722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750F97" w14:textId="77777777" w:rsidR="00C317BC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еализация инвестиционных проектов (в том числе по программе «Один район – один проект»). Создание новых перспективных производств и рабочих мест в регионе</w:t>
      </w:r>
    </w:p>
    <w:p w14:paraId="3D6431D5" w14:textId="77777777" w:rsidR="00C317BC" w:rsidRPr="00FF45A9" w:rsidRDefault="00C317BC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B52E20E" w14:textId="7D88CE92" w:rsidR="002521D7" w:rsidRPr="00FF45A9" w:rsidRDefault="002521D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Минской области на протяжении последних 10 лет привлекается </w:t>
      </w:r>
      <w:r w:rsidRPr="00FF45A9">
        <w:rPr>
          <w:rFonts w:ascii="Times New Roman" w:eastAsia="Calibri" w:hAnsi="Times New Roman" w:cs="Times New Roman"/>
          <w:b/>
          <w:color w:val="000000"/>
          <w:spacing w:val="-2"/>
          <w:kern w:val="0"/>
          <w:sz w:val="30"/>
          <w:szCs w:val="30"/>
          <w:lang w:eastAsia="ru-RU"/>
          <w14:ligatures w14:val="none"/>
        </w:rPr>
        <w:t>наибольший в стране</w:t>
      </w:r>
      <w:r w:rsidRPr="00FF45A9">
        <w:rPr>
          <w:rFonts w:ascii="Times New Roman" w:eastAsia="Calibri" w:hAnsi="Times New Roman" w:cs="Times New Roman"/>
          <w:bCs/>
          <w:color w:val="000000"/>
          <w:spacing w:val="-2"/>
          <w:kern w:val="0"/>
          <w:sz w:val="30"/>
          <w:szCs w:val="30"/>
          <w:lang w:eastAsia="ru-RU"/>
          <w14:ligatures w14:val="none"/>
        </w:rPr>
        <w:t xml:space="preserve"> объем инвестиций в основной капитал, в 2025 году –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24,8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от инвестиций в республике (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13,9 </w:t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млрд рублей, или 111,2</w:t>
      </w:r>
      <w:r w:rsidR="00BB17ED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="00BB0E47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к уровню 2024 года).</w:t>
      </w:r>
    </w:p>
    <w:p w14:paraId="75B6F685" w14:textId="260BB4D1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 период с 2021 года по 2025 г</w:t>
      </w:r>
      <w:r w:rsidR="005B1BF3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од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поступило прямых иностранных инвестиций на сумму 4,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США, в том числе прямых иностранных инвестиций на чистой основе – 1,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США.</w:t>
      </w:r>
    </w:p>
    <w:p w14:paraId="071C3871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Завершена реализация крупнейших проектов:</w:t>
      </w:r>
    </w:p>
    <w:p w14:paraId="0B5530A1" w14:textId="77777777" w:rsidR="00F1726A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высокотехнологичного агропромышленного производства полного цикла (БНБК-1, 2) ЗАО «БНБК»;</w:t>
      </w:r>
    </w:p>
    <w:p w14:paraId="0E11D77A" w14:textId="5F81A2F3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реконструкция не завершенного строительством опытного завода специальных станков, оснастки и специальных инструментов в завод по производству порошковых красок в д. 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Избино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Вилейского района иностранным частным предприятием «Бел Пека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Пэйнт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5D8415BF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создание современного гибкого автоматизированного производства узлов рулевого управления для комплектации автомобильной техники ОАО «Борисовский завод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Автогидроусилитель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2F432398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организация производства медицинского стекла и изделий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Белмедстекло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»; </w:t>
      </w:r>
    </w:p>
    <w:p w14:paraId="3DB94494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строительство производственно-складского комплекса частным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Дарида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0788AAC0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производственного здания под склад готовой продукции ОАО «Борисовский завод медицинских препаратов»;</w:t>
      </w:r>
    </w:p>
    <w:p w14:paraId="210B3815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производства инновационных изделий прицельной техники и автокомпонентов ОАО «Зенит-БелОМО».</w:t>
      </w:r>
    </w:p>
    <w:p w14:paraId="4673372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Во исполнение поручения Главы государства по созданию новых производств в каждой административно-территориальной единице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в перечень инвестиционных </w:t>
      </w:r>
      <w:r w:rsidRPr="00FF45A9">
        <w:rPr>
          <w:rFonts w:ascii="Times New Roman" w:eastAsia="Arial Unicode MS" w:hAnsi="Times New Roman" w:cs="Times New Roman"/>
          <w:spacing w:val="-8"/>
          <w:kern w:val="0"/>
          <w:sz w:val="30"/>
          <w:szCs w:val="30"/>
          <w:lang w:eastAsia="ru-RU" w:bidi="ru-RU"/>
          <w14:ligatures w14:val="none"/>
        </w:rPr>
        <w:t>проектов по принципу «один район – один проект»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включен 51 инвестиционный проект, из которых з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авершена реализация 32 проектов общей стоимостью 648 млн рублей. В каждом регионе области имеются завершенные проекты в рамках данной инициативы, крупнейшими из которых являются: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4D18800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«Производство сыра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Camembert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с белой плесенью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на Вилейском производственном участке» ОАО «Минский молочный завод № 1»;</w:t>
      </w:r>
    </w:p>
    <w:p w14:paraId="3FF38B38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«Строительство инновационной перепелиной фермы замкнутого цикла с автоматизированным сбором и упаковкой товарного яйца «Кривичи», расположенной в районе </w:t>
      </w:r>
      <w:proofErr w:type="spellStart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 Кривичи Солигорского района Минской области, 1-я и 2-я очереди» ОАО «Солигорская птицефабрика»;</w:t>
      </w:r>
    </w:p>
    <w:p w14:paraId="7D30A98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фармацевтического завода, соответствующего правилам надлежащей производственной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практики (GMP)»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ООО «Научно-производственный центр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БелАгроГен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»;</w:t>
      </w:r>
    </w:p>
    <w:p w14:paraId="4EE567A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техники» ОАО «АМКОДОР-СЕМАШ» – управляющая компания холдинга»;</w:t>
      </w:r>
    </w:p>
    <w:p w14:paraId="51C56A6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г.п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. Смиловичи» иностранным унитарным предприятием «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Реб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-Фарма».</w:t>
      </w:r>
    </w:p>
    <w:p w14:paraId="1D4E81E8" w14:textId="77777777" w:rsidR="00C808AD" w:rsidRPr="00FF45A9" w:rsidRDefault="00C808AD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6C0F4E28" w14:textId="77777777" w:rsidR="004E7F77" w:rsidRPr="00FF45A9" w:rsidRDefault="004E7F7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2CC0ED46" w14:textId="7D28B256" w:rsidR="00AC14D2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lastRenderedPageBreak/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t>нешнеэкономическая деятельность, развитие предпринимательства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 регионе</w:t>
      </w:r>
    </w:p>
    <w:p w14:paraId="2C354A6F" w14:textId="09C4212F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В 202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5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году н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а долю области пришлось 24</w:t>
      </w:r>
      <w:r w:rsidR="00D25A3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экспорта товаров республики.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Организации области осуществляли внешнеторговые операции с 16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странами мира, товары поставлялись на рынки 13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3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государств. </w:t>
      </w:r>
    </w:p>
    <w:p w14:paraId="13755CAB" w14:textId="52066BDC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экспорта товаров области к уровню 2020 года составил 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143,7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, в том числе в Российскую Федерацию обеспечен рост в 2,3 раза,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Китай –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,2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 Экспорт услуг увеличился к уровню 2020 года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,8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</w:t>
      </w:r>
    </w:p>
    <w:p w14:paraId="1870C585" w14:textId="5B64CA03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итогам конкурса на лучшие регионы-побратимы, проходившего </w:t>
      </w:r>
      <w:r w:rsidR="00D25A3D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17 – 20 ноября 2024 г. в г. Куньмине провинции Юньнань Китайской Народной Республики в рамках международного Форума городов-побратимов – 2024, Минская область получила награду «За выдающийся вклад в сотрудничество с Китаем».</w:t>
      </w:r>
    </w:p>
    <w:p w14:paraId="1704E836" w14:textId="3D73C8F4" w:rsidR="000B0C3F" w:rsidRPr="00FF45A9" w:rsidRDefault="000B0C3F" w:rsidP="008370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shd w:val="clear" w:color="auto" w:fill="FFFFFF"/>
          <w:lang w:eastAsia="ru-RU"/>
          <w14:ligatures w14:val="none"/>
        </w:rPr>
        <w:t>На протяжении пяти лет сектор малого и среднего предпринимательства (далее – МСП) области имел положительную динамику развития. В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клад субъектов МСП в формирование валовой добавленной стоимости области составил за 2024 год 35,1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24D2933" w14:textId="353592BA" w:rsidR="000B0C3F" w:rsidRPr="00FF45A9" w:rsidRDefault="000B0C3F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1 января 2026 г. в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Минской области осуществляли деятельность 53 554 субъекта малого и среднего предпринимательства, из них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19 191 малое предприятие, 33 948 индивидуальных предпринимателей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и 415 средних предприятий.</w:t>
      </w:r>
    </w:p>
    <w:p w14:paraId="55324B3D" w14:textId="075C37E6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За 2025 год поступления в консолидированный бюджет области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от предпринимательского сектора составили 3 885,5 млн рублей,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EF042A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увеличились по сравнению с 2024 годом на 482,5 млн. рублей. </w:t>
      </w:r>
    </w:p>
    <w:p w14:paraId="057D4878" w14:textId="77777777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С целью эффективного взаимодействия органов власти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субъектов бизнеса, конструктивного решения проблемных аспектов развития предпринимательства при Минском облисполкоме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</w:t>
      </w:r>
      <w:proofErr w:type="spellStart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райгорисполкомах</w:t>
      </w:r>
      <w:proofErr w:type="spellEnd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области функционируют советы по развитию предпринимательства. </w:t>
      </w:r>
    </w:p>
    <w:p w14:paraId="3251C6E3" w14:textId="7A0F9F08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В качестве организационной поддержки бизнеса в области сформирована сеть субъектов инфраструктуры поддержки предпринимательства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, включающая в настоящее время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центров поддержки предпринимательства и 3 инкубатора малого предпринимательства, посредством которых обеспечивается консультационное, информационное и обучающее обслуживание частных структур.</w:t>
      </w:r>
    </w:p>
    <w:p w14:paraId="4DBD218C" w14:textId="77777777" w:rsidR="00EE378B" w:rsidRPr="00FF45A9" w:rsidRDefault="00EE378B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7EA3BA1E" w14:textId="77777777" w:rsidR="006E1CB4" w:rsidRPr="00FF45A9" w:rsidRDefault="006E1CB4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971AB0F" w14:textId="449D9F6F" w:rsidR="00D43E3F" w:rsidRPr="00FF45A9" w:rsidRDefault="00421508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ост реальной заработной платы в регионе</w:t>
      </w:r>
    </w:p>
    <w:p w14:paraId="52965143" w14:textId="77777777" w:rsidR="000B0C3F" w:rsidRPr="00FF45A9" w:rsidRDefault="000B0C3F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73BBA4E" w14:textId="173489CF" w:rsidR="000B0C3F" w:rsidRPr="00FF45A9" w:rsidRDefault="00B5792D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Минская о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бласть традиционно занимает </w:t>
      </w:r>
      <w:r w:rsidR="000B0C3F"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лидирующие позиции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среди областей республики по уровню заработной платы.</w:t>
      </w:r>
    </w:p>
    <w:p w14:paraId="69670791" w14:textId="634ABADE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Номинальная начисленная среднемесячная заработная плата работников организаций области за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2025 год составила 2740,5 ру</w:t>
      </w:r>
      <w:r w:rsidR="00765201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б.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  <w:t>(117,7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к 2024 году) и превысила среднереспубликанское значение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(2693 рубля). </w:t>
      </w:r>
    </w:p>
    <w:p w14:paraId="309A3F96" w14:textId="77777777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За 2021 – 2025 годы номинальная начисленная среднемесячная заработная плата выросла к уровню 2020 года в 2,2 раза, р</w:t>
      </w:r>
      <w:r w:rsidRPr="00FF45A9">
        <w:rPr>
          <w:rFonts w:ascii="Times New Roman" w:eastAsia="Times New Roman" w:hAnsi="Times New Roman" w:cs="Times New Roman"/>
          <w:bCs/>
          <w:spacing w:val="-2"/>
          <w:kern w:val="0"/>
          <w:sz w:val="30"/>
          <w:szCs w:val="30"/>
          <w:lang w:eastAsia="ru-RU"/>
          <w14:ligatures w14:val="none"/>
        </w:rPr>
        <w:t>еальная заработная плата –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 1,5 раза.</w:t>
      </w: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1B288C5F" w14:textId="44EFB38F" w:rsidR="00833F64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Ситуация на рынке труда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в текущем пятилетии характеризовалась снижением уровня официально зарегистрированной безработицы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(с 0,2 процента на конец 2019 года до 0,03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на конец 2025 года).</w:t>
      </w:r>
    </w:p>
    <w:p w14:paraId="3D87E304" w14:textId="77777777" w:rsidR="00833F64" w:rsidRPr="00FF45A9" w:rsidRDefault="00833F64" w:rsidP="00837051">
      <w:pPr>
        <w:spacing w:before="120" w:after="120" w:line="280" w:lineRule="exact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016E529" w14:textId="14918B23" w:rsidR="009C73A8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омплексное развитие и рациональное размещение производительных сил (меры по обеспечению региона кадрами наиболее востребованных профессий</w:t>
      </w:r>
      <w:r w:rsidR="006E01A5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еры, принимаемые для закрепления молодых специалистов</w:t>
      </w:r>
    </w:p>
    <w:p w14:paraId="297BBB46" w14:textId="77777777" w:rsidR="00145653" w:rsidRPr="00FF45A9" w:rsidRDefault="00145653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D94D0A7" w14:textId="32DC5D89" w:rsidR="00681215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В 2023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2025 годах в организации Минской области на первое рабочее место прибыл</w:t>
      </w:r>
      <w:r w:rsidR="005550C5" w:rsidRPr="00FF45A9">
        <w:rPr>
          <w:rFonts w:ascii="Times New Roman" w:hAnsi="Times New Roman" w:cs="Times New Roman"/>
          <w:sz w:val="30"/>
          <w:szCs w:val="30"/>
        </w:rPr>
        <w:t>и</w:t>
      </w:r>
      <w:r w:rsidRPr="00FF45A9">
        <w:rPr>
          <w:rFonts w:ascii="Times New Roman" w:hAnsi="Times New Roman" w:cs="Times New Roman"/>
          <w:sz w:val="30"/>
          <w:szCs w:val="30"/>
        </w:rPr>
        <w:t xml:space="preserve"> 14970 выпускников, имеющих статус молодого специалиста (рабочего), из них с высшим образованием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5312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(2023 года выпуска</w:t>
      </w:r>
      <w:r w:rsidRPr="00FF45A9">
        <w:rPr>
          <w:rFonts w:ascii="Times New Roman" w:hAnsi="Times New Roman" w:cs="Times New Roman"/>
          <w:noProof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1653 человека, 2024 года 1773, 2025 года 1886),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со средним специальным – 6102 (2023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1988, 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2003, 2025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2111), с профессионально-техническим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3556 молодых рабочих (2024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1721, 2025 года – 1835). </w:t>
      </w:r>
    </w:p>
    <w:p w14:paraId="303D7FCF" w14:textId="6DE82DE0" w:rsidR="00145653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Наибольшее количество молодых специалистов пополнило такие отрасли</w:t>
      </w:r>
      <w:r w:rsidR="005550C5" w:rsidRPr="00FF45A9">
        <w:rPr>
          <w:rFonts w:ascii="Times New Roman" w:hAnsi="Times New Roman" w:cs="Times New Roman"/>
          <w:sz w:val="30"/>
          <w:szCs w:val="30"/>
        </w:rPr>
        <w:t>,</w:t>
      </w:r>
      <w:r w:rsidRPr="00FF45A9">
        <w:rPr>
          <w:rFonts w:ascii="Times New Roman" w:hAnsi="Times New Roman" w:cs="Times New Roman"/>
          <w:sz w:val="30"/>
          <w:szCs w:val="30"/>
        </w:rPr>
        <w:t xml:space="preserve"> как образование (24,7% от общего количества молодых специалистов, прибывших на первое рабочее место в область в 2023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2025 годах), здравоохранение (21,3%), промышленность (20,2%)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сельское хозяйство (15,9%).</w:t>
      </w:r>
    </w:p>
    <w:p w14:paraId="425CFBD2" w14:textId="6725B5AD" w:rsidR="00145653" w:rsidRPr="00FF45A9" w:rsidRDefault="00145653" w:rsidP="006E1CB4">
      <w:pPr>
        <w:spacing w:after="0" w:line="240" w:lineRule="auto"/>
        <w:ind w:right="115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На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закрепляемость молодых специалистов после двухлетней обязательной работы по распределению (выпускников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2023 года) сложилась на уровне 59,7% (уменьшилась на 1,4% к 01.10.2024), с высшим образованием – 63,3%, увеличилась на 3,4% (59,9% в октябре 2024 г</w:t>
      </w:r>
      <w:r w:rsidR="00BB0E47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 xml:space="preserve">, 57,9% в 2023 году), со средним специальным образованием </w:t>
      </w:r>
      <w:r w:rsidR="00201CDC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56,6%, уменьшение на 5,7% (62,3% в 2024 году, 51</w:t>
      </w:r>
      <w:r w:rsidR="00BB0E47" w:rsidRPr="00FF45A9">
        <w:rPr>
          <w:rFonts w:ascii="Times New Roman" w:hAnsi="Times New Roman" w:cs="Times New Roman"/>
          <w:sz w:val="30"/>
          <w:szCs w:val="30"/>
        </w:rPr>
        <w:t>%</w:t>
      </w:r>
      <w:r w:rsidRPr="00FF45A9">
        <w:rPr>
          <w:rFonts w:ascii="Times New Roman" w:hAnsi="Times New Roman" w:cs="Times New Roman"/>
          <w:sz w:val="30"/>
          <w:szCs w:val="30"/>
        </w:rPr>
        <w:t xml:space="preserve"> в 2023 году).</w:t>
      </w:r>
    </w:p>
    <w:p w14:paraId="481D5D9C" w14:textId="0B211D7D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В целях закрепления молодых специалистов на местах организациями области проработан ряд мер по обеспечению комфортных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жилищно-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бытовых условий проживания, материальной и иной поддержке молодых</w:t>
      </w:r>
      <w:r w:rsidR="00163ED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специалистов.</w:t>
      </w:r>
    </w:p>
    <w:p w14:paraId="299CFB7F" w14:textId="603BDFE1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Так, на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2726 молодых специалистов (42%), прибывших в 2024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годах и продолжающих трудовую деятельность, проживают с родителями, 1898 (29,2%) 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в общежитии или жилье, предоставленном организацией-нанимателем, 1292 (19,9%) арендуют жилье самостоятельно, 344 (5,3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) имеют собственное жилье, 237 (3,6%) проживают в коммерческом (арендном) жилье.</w:t>
      </w:r>
    </w:p>
    <w:p w14:paraId="0668F81A" w14:textId="0A4F6B63" w:rsidR="00145653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Компенсация за найм жилых помещений предусмотрена для 849 чел. (13,1% от общего числа молодых специалистов), из них 269 чел. (4,1%) более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величин.</w:t>
      </w:r>
    </w:p>
    <w:p w14:paraId="06FE453C" w14:textId="54D2F7C0" w:rsidR="00EE378B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С целью профессионального становления и успешной адаптации </w:t>
      </w:r>
      <w:r w:rsidR="00BB0E47" w:rsidRPr="00FF45A9">
        <w:rPr>
          <w:rFonts w:ascii="Times New Roman" w:eastAsia="Times New Roman" w:hAnsi="Times New Roman" w:cs="Times New Roman"/>
          <w:sz w:val="30"/>
          <w:szCs w:val="30"/>
        </w:rPr>
        <w:br/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в коллективе через практическую помощь, развитие профессиональных компетенций и передачу опыта за всеми молодыми специалистами, продолжающими трудовую деятельность в организациях области</w:t>
      </w:r>
      <w:r w:rsidR="00AA5A4E" w:rsidRPr="00FF45A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наставники из числа высококвалифицированных</w:t>
      </w:r>
      <w:r w:rsidR="00AA5A4E" w:rsidRPr="00FF45A9">
        <w:rPr>
          <w:rFonts w:ascii="Times New Roman" w:hAnsi="Times New Roman" w:cs="Times New Roman"/>
          <w:sz w:val="30"/>
          <w:szCs w:val="30"/>
        </w:rPr>
        <w:t xml:space="preserve"> работников организаци</w:t>
      </w:r>
      <w:r w:rsidR="00EE378B" w:rsidRPr="00FF45A9">
        <w:rPr>
          <w:rFonts w:ascii="Times New Roman" w:hAnsi="Times New Roman" w:cs="Times New Roman"/>
          <w:sz w:val="30"/>
          <w:szCs w:val="30"/>
        </w:rPr>
        <w:t>и.</w:t>
      </w:r>
    </w:p>
    <w:p w14:paraId="0C596D4F" w14:textId="77777777" w:rsidR="00292722" w:rsidRPr="00FF45A9" w:rsidRDefault="00292722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B88F84" w14:textId="3C7750B3" w:rsidR="009C73A8" w:rsidRPr="00FF45A9" w:rsidRDefault="00421508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2" w:name="_Hlk224225633"/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лияние развития социальной сферы на улучшение качества жизни населения региона (в том числе жилищное строительство </w:t>
      </w:r>
      <w:r w:rsidR="00BB0E47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акцентом на социальное и арендное жилье; открытие новых социальных объектов в 2025 году и в ближайшей перспективе и др.)</w:t>
      </w:r>
    </w:p>
    <w:p w14:paraId="76A13F80" w14:textId="77777777" w:rsidR="007504D9" w:rsidRPr="00FF45A9" w:rsidRDefault="007504D9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735DB3" w14:textId="1AC68ED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2021 </w:t>
      </w:r>
      <w:r w:rsidR="0035631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2025 годы, утвержденная постановлением Совета Министров Республики Беларусь от 21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2021 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51, направлена на создание условий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для удовлетворения гражданами потребности в доступном и комфортном жилье в соответствии с их индивидуальными запросами и финансовыми возможностями.</w:t>
      </w:r>
    </w:p>
    <w:p w14:paraId="74CC7352" w14:textId="4E639DC9" w:rsidR="00A15D70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Цель Государственной программы – повышение уровня обеспеченности населения Республики Беларусь доступным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качественным жильем.</w:t>
      </w:r>
    </w:p>
    <w:p w14:paraId="78D51ABA" w14:textId="5EA8F84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Сводный целевой показатель Государственной программы «уровень обеспеченности населения жильем» по итогам 2025 года в Минской области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расчетно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составил 33,9 кв. м на одного человека или 111,9%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плановому значению на 2025 год – 30,3 кв. м на одного человека в целом по республике.</w:t>
      </w:r>
    </w:p>
    <w:p w14:paraId="27070722" w14:textId="0648344D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1. Задача – обеспечение запланированных объемов строительства общей площади жилья. </w:t>
      </w:r>
      <w:bookmarkStart w:id="3" w:name="_Hlk221198327"/>
      <w:r w:rsidR="00850F28" w:rsidRPr="00FF45A9">
        <w:rPr>
          <w:rFonts w:ascii="Times New Roman" w:hAnsi="Times New Roman" w:cs="Times New Roman"/>
          <w:sz w:val="30"/>
          <w:szCs w:val="30"/>
        </w:rPr>
        <w:t>Выполнение ц</w:t>
      </w:r>
      <w:r w:rsidRPr="00FF45A9">
        <w:rPr>
          <w:rFonts w:ascii="Times New Roman" w:hAnsi="Times New Roman" w:cs="Times New Roman"/>
          <w:sz w:val="30"/>
          <w:szCs w:val="30"/>
        </w:rPr>
        <w:t>елевы</w:t>
      </w:r>
      <w:r w:rsidR="00850F28" w:rsidRPr="00FF45A9">
        <w:rPr>
          <w:rFonts w:ascii="Times New Roman" w:hAnsi="Times New Roman" w:cs="Times New Roman"/>
          <w:sz w:val="30"/>
          <w:szCs w:val="30"/>
        </w:rPr>
        <w:t>х</w:t>
      </w:r>
      <w:r w:rsidRPr="00FF45A9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850F28" w:rsidRPr="00FF45A9">
        <w:rPr>
          <w:rFonts w:ascii="Times New Roman" w:hAnsi="Times New Roman" w:cs="Times New Roman"/>
          <w:sz w:val="30"/>
          <w:szCs w:val="30"/>
        </w:rPr>
        <w:t>ей составило</w:t>
      </w:r>
      <w:r w:rsidRPr="00FF45A9">
        <w:rPr>
          <w:rFonts w:ascii="Times New Roman" w:hAnsi="Times New Roman" w:cs="Times New Roman"/>
          <w:sz w:val="30"/>
          <w:szCs w:val="30"/>
        </w:rPr>
        <w:t>:</w:t>
      </w:r>
    </w:p>
    <w:bookmarkEnd w:id="3"/>
    <w:p w14:paraId="4B0897FF" w14:textId="1349372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1.1. Объем ввода в эксплуатацию жилья за счет всех источников финансирования – задание на 2025 год 1325,0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102% к заданию;</w:t>
      </w:r>
    </w:p>
    <w:p w14:paraId="6BFBD1E7" w14:textId="6B1A0AF1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lastRenderedPageBreak/>
        <w:t xml:space="preserve">1.2. Объем ввода в эксплуатацию арендного жилья (в разрезе регионов данный показатель по госпрограмме не доводился)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постановлению СМ РБ от 03.02.2025 № 65 на 2025 год 63,2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102,016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что составило 161,4%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заданию;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AF6F34" w14:textId="76EA461B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1.3. Объем ввода в эксплуатацию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электродомов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задание на 2025 год 150,0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246,786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164,5% к заданию;</w:t>
      </w:r>
    </w:p>
    <w:p w14:paraId="102A454B" w14:textId="78C5C2D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1.4. Объем ввода в эксплуатацию общей площади жилых домов, построенных с государственной поддержкой, для граждан, состоящих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на учете нуждающихся в улучшении жилищных условий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2025 год 290,0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339,68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что составило 117% к заданию;</w:t>
      </w:r>
    </w:p>
    <w:p w14:paraId="6DF6E979" w14:textId="55D02C2F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1.5. Доля индивидуального жилищного строительства в общем объеме жилищного строительства – задание не менее 40%, выполнено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68% (в 2025 году всего введено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жилья, в том числе индивидуальные жилые дома 920,31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м);</w:t>
      </w:r>
    </w:p>
    <w:p w14:paraId="54AEF423" w14:textId="58ABCF56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1.6. Соотношение средней стоимости 1 кв. м общей площади жилья, построенного с государственной поддержкой (без индивидуальных застройщиков) и номинальной начисленной средней заработной платы работников Республики Беларусь – задание не более 1, по итогам 2025 года коэффициент составил 0,6.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1DF098" w14:textId="18590E16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>: По итогам за 2025 год средняя стоимост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1 кв. м общей площади жилья, построенного с государственной поддержкой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(без индивидуальных застройщиков)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по Минской области составила 1918 руб., номинальная начисленная средняя заработная плата работников Республики Беларусь 3112,7 руб.</w:t>
      </w:r>
    </w:p>
    <w:p w14:paraId="06D0A874" w14:textId="5C7BF116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2 «Инфраструктура к жилью». Задача – обеспечение строительства инженерной и транспортной инфраструктуры к жилым домам в объемах, обеспечивающих запланированный ввод общей площади жилья. </w:t>
      </w:r>
      <w:r w:rsidR="00467275" w:rsidRPr="00FF45A9">
        <w:rPr>
          <w:rFonts w:ascii="Times New Roman" w:hAnsi="Times New Roman" w:cs="Times New Roman"/>
          <w:sz w:val="30"/>
          <w:szCs w:val="30"/>
        </w:rPr>
        <w:t>Выполнение целевых показателей составило:</w:t>
      </w:r>
    </w:p>
    <w:p w14:paraId="743E7D40" w14:textId="7777777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1.7. Доля многоквартирных жилых домов, введенных в эксплуатацию в отчетном году, обеспеченных необходимой инженерной и транспортной инфраструктурой – показатель выполнен на 100 %.</w:t>
      </w:r>
    </w:p>
    <w:p w14:paraId="14692AB2" w14:textId="2B7E13E5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Все многоквартирные жилые дома, введенные в эксплуатацию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Минской области, обеспечены необходимой инженерной и транспортной инфраструктурой.</w:t>
      </w:r>
    </w:p>
    <w:p w14:paraId="6ADBB044" w14:textId="4FF16C7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1.8. Затраты на строительство инженерной и транспортной инфраструктуры к жилью на 1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жилых помещений – плановое значение показателя на 2025 год в размере 225,2 на 1 кв. м жилых помещений (без разбивки по регионам республики).</w:t>
      </w:r>
    </w:p>
    <w:p w14:paraId="3F80A1AD" w14:textId="19DCBB3A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По факту данный показатель за 2025 год составил 171,63 руб</w:t>
      </w:r>
      <w:r w:rsidR="00142D0C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>/метр.</w:t>
      </w:r>
    </w:p>
    <w:p w14:paraId="4A5B98CE" w14:textId="58067810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: На строительство (реконструкцию) объектов инженерной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транспортной инфраструктуры к районам жилой застройки, включая районы индивидуальной жилой застройки, из средств республиканского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местного бюджетов, организаций, подчиненных Минэнерго и Минсвязи,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в 2025 году направлено 232 301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руб. Всего за 2025 год введено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1353,522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кв.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м общей площади жилья.</w:t>
      </w:r>
    </w:p>
    <w:p w14:paraId="0AFD95CF" w14:textId="38658B4C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 целях развития социальной инфраструктуры регионов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выполнения государственных программ введены в эксплуатацию следующие объекты: «Строительство пожарного депо в г. Любань Минской области», «Строительство административно-бытового корпуса на территории Червенского РОЧС», «Детсад-ясли на 200 мест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в микрорайоне «Юго-запад» в г. Логойске», «Учреждение общего среднего образования в районе ул. Зеленая в г. Фаниполь Дзержинского района», «Возведение здания автостанции по адресу: Минская область, г. Жодино, ул. 40 лет Октября», «Строительство амбулатории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Юзуфово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Минского района», «Реконструкция центральной части г. Заславль», «Детский сад – начальная школа в г. Слуцке» (на 471 место)»,</w:t>
      </w:r>
      <w:r w:rsidRPr="00FF45A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«Реконструкция моста через ручей на км 14,674 а/д Н-9781 Новый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Свержень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Любковщина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Столбцовского района», «Реконструкция моста через канал на км 26,060 а/д Н-9452 Селище – Октябрь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Салогощ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Солигорского района», «Автомобильная дорога Н-24 67 Подъезд к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Ашнарово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от а/д Н-8964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Паперня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Радошковичи км 0,000 – км 0,610 с обустройством производственно-технологической площадки с закрытым складом для хранения песчано-соляной смеси Минского района», «Строительство детского сада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Смиловичи Червенский район», «Строительство лечебного корпуса по ул. Парковой, 19 Б в пос. Дружный Пуховичского района», «Строительство физкультурно-оздоровительного комплекса в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Лесковка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», «Реконструкция моста через мелиоративный канал на км 7,532 автомобильной дороги Н-8670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Докудово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Жаберичи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Клен Крупского района», «Реконструкция моста через суходол на км 2,969 автомобильной дороги Н-9120 Радошковичи – Раков Молодечненского района», «Реконструкция моста через суходол на км 5,004 автомобильной дороги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Н-9120 Радошковичи – Раков Молодечненского района», «Реконструкция моста через р.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Ратынца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на км 4,629 а/д Н-8256 Раков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Курдуны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Боровиковщина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Воложинского района», «Реконструкция моста через ручей на км 7,546 а/д Н-9315 Завитая – Снов Несвижского района», «Реконструкция корпуса реабилитации УЗ «Клинический родильный дом Минской области» с развертыванием отделения анестезиологии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реанимации (для новорожденных детей) на 18 коек с модернизацией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адресу г. Минск, ул. Ф. Скорины, 16».</w:t>
      </w:r>
    </w:p>
    <w:p w14:paraId="7DDC9F90" w14:textId="2A9DACF1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2026 </w:t>
      </w:r>
      <w:r w:rsidR="00C452E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2030 годы утверждена постановлением Совета Министров Республики Беларусь от 29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780, в соответствии с которой на конец </w:t>
      </w:r>
      <w:r w:rsidRPr="00FF45A9">
        <w:rPr>
          <w:rFonts w:ascii="Times New Roman" w:hAnsi="Times New Roman" w:cs="Times New Roman"/>
          <w:sz w:val="30"/>
          <w:szCs w:val="30"/>
        </w:rPr>
        <w:lastRenderedPageBreak/>
        <w:t>2030 года в Минской области обеспеченность населения жильем в расчете на одного жителя должна составлять 36,7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м.</w:t>
      </w:r>
    </w:p>
    <w:p w14:paraId="6BFE0CD4" w14:textId="728FE805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За 2026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2030 годы в Минской области должно быть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жилых помещений общей площадью 253,8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государственному заказу и 1 360,9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 арендного жилья,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том числе в 2026 году 68,4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и 126,3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bookmarkEnd w:id="2"/>
    <w:p w14:paraId="1FDF9047" w14:textId="77777777" w:rsidR="006E1CB4" w:rsidRPr="00FF45A9" w:rsidRDefault="006E1CB4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96256C6" w14:textId="69058E6D" w:rsidR="00D43E3F" w:rsidRPr="00FF45A9" w:rsidRDefault="00421508" w:rsidP="00837051">
      <w:pPr>
        <w:spacing w:after="0" w:line="23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пецифика региона, отражающая его потенциал и влияющая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 особенности его развития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ерспективы развития региона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 том числе в соответствии с утвержденной Программой социально-экономического развития Республики Беларусь на 2026–2030 годы</w:t>
      </w:r>
      <w:r w:rsidR="0010351D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</w:p>
    <w:p w14:paraId="3A460309" w14:textId="77777777" w:rsidR="00936F22" w:rsidRPr="00FF45A9" w:rsidRDefault="00936F22" w:rsidP="00837051">
      <w:pPr>
        <w:spacing w:after="0" w:line="230" w:lineRule="auto"/>
        <w:ind w:right="23" w:firstLine="709"/>
        <w:contextualSpacing/>
        <w:jc w:val="both"/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</w:pPr>
    </w:p>
    <w:p w14:paraId="2DFCC024" w14:textId="15C50806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Проект Программы социально-экономического развития Минской области на 2026 – 2030 годы (далее – проект Программы) базируется </w:t>
      </w:r>
      <w:r w:rsidR="00BB0E47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приоритетах Программы социально-экономического развития Республики Беларусь на 2026 – 2030 годы, утвержденной решением Всебелорусского народного собрания 19 декабря 2025 г.</w:t>
      </w:r>
    </w:p>
    <w:p w14:paraId="5463F51A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Проектом Программы определены шесть ключевых приоритетов: </w:t>
      </w:r>
    </w:p>
    <w:p w14:paraId="19BEBFFD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1. Демографическая безопасность – сохранение населения, укрепление здоровья нации и поддержка семьи;</w:t>
      </w:r>
    </w:p>
    <w:p w14:paraId="45D802B5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 Развитие человеческого потенциала, качественное образование, воспитание гармоничной и патриотичной личности;</w:t>
      </w:r>
    </w:p>
    <w:p w14:paraId="0AECC3A2" w14:textId="4F9498B2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Создание качественной и удобной среды для жизни;</w:t>
      </w:r>
    </w:p>
    <w:p w14:paraId="3819C437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4. Рост конкурентоспособности, ускорение технологического развития и цифровизация;</w:t>
      </w:r>
    </w:p>
    <w:p w14:paraId="4F894BD2" w14:textId="71CF83AA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Сильные регионы;</w:t>
      </w:r>
    </w:p>
    <w:p w14:paraId="612E88F6" w14:textId="7B05BC44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Реализация туристического потенциала.</w:t>
      </w:r>
    </w:p>
    <w:p w14:paraId="51491EC2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Региональная политика в области будет нацелена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на эффективную реализацию потенциала регионов с учетом их уникальных конкурентных преимуществ и повышение качества жизни населения.</w:t>
      </w:r>
    </w:p>
    <w:p w14:paraId="7D2DC6B3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Драйверами экономического роста в следующем пятилетии станут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индустриальные центры (на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городов с численностью населения свыше 80 тыс. человек – Борисовский, Молодечненский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и Солигорский районы, а также Слуцкий район –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с численностью населения свыше 50 тыс. человек), где создаются новые предприятия, идет модернизация действующих производств, расширяется сфера услуг современного качества.</w:t>
      </w:r>
    </w:p>
    <w:p w14:paraId="602CB324" w14:textId="4753AD66" w:rsidR="000B0C3F" w:rsidRPr="00FF45A9" w:rsidRDefault="000B0C3F" w:rsidP="004E7F77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</w:t>
      </w:r>
      <w:r w:rsidRPr="00FF45A9">
        <w:rPr>
          <w:rFonts w:ascii="Times New Roman" w:eastAsia="PMingLiU-ExtB" w:hAnsi="Times New Roman" w:cs="Times New Roman"/>
          <w:iCs/>
          <w:kern w:val="0"/>
          <w:sz w:val="30"/>
          <w:szCs w:val="30"/>
          <w:lang w:eastAsia="ru-RU"/>
          <w14:ligatures w14:val="none"/>
        </w:rPr>
        <w:t>промышленных районов</w:t>
      </w:r>
      <w:r w:rsidRPr="00FF45A9">
        <w:rPr>
          <w:rFonts w:ascii="Times New Roman" w:eastAsia="PMingLiU-ExtB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(Дзержинский, Пуховичский, Смолевичский районы и город Жодино,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Минский район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)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будет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ориентировано на увеличение их индустриального потенциала, наращивание глубины переработки сырьевых ресурсов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(деревообработка,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производство ветеринарных препаратов, производство </w:t>
      </w:r>
      <w:proofErr w:type="spellStart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автокомпонетов</w:t>
      </w:r>
      <w:proofErr w:type="spellEnd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, машин и агрегатов для сельхозпроизводителей).</w:t>
      </w:r>
    </w:p>
    <w:p w14:paraId="2DE15E7F" w14:textId="79EC0EC1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Размещение индустриальных площадок для локализации новых инновационных производств планируется осуществлять в рамках Минского промышленного пояса за счет имеющегося производственного потенциала 4 промышленных зон (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«Борисов – Смолевичи»,</w:t>
      </w:r>
      <w:r w:rsidR="00911F7B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«Молодечненская зона», «Слуцк – Солигорск»,</w:t>
      </w:r>
      <w:r w:rsidR="00272400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«Столбцы – Дзержинск»). </w:t>
      </w:r>
    </w:p>
    <w:p w14:paraId="39F2EFA0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аграрных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(Березинский, Копыльский, Стародорожский, Узденский и Червенский)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аграрно-промышленных районов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 xml:space="preserve">(Вилейский, Воложинский, Клецкий, Крупский, Любанский, Несвижский и Столбцовский) будет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направлено на индустриализацию сельского хозяйства, создание новых предприятий по переработке местных ресурсов. </w:t>
      </w:r>
    </w:p>
    <w:p w14:paraId="18AAF3B3" w14:textId="2ACADFA7" w:rsidR="000B0C3F" w:rsidRPr="00FF45A9" w:rsidRDefault="000B0C3F" w:rsidP="004E7F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Будет уделено особое внимание сельским территориям,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в том числе агрогородкам и «деревням будущего».</w:t>
      </w:r>
    </w:p>
    <w:p w14:paraId="3A01FCE0" w14:textId="20564F89" w:rsidR="000B0C3F" w:rsidRPr="00FF45A9" w:rsidRDefault="000B0C3F" w:rsidP="00837051">
      <w:pPr>
        <w:spacing w:before="120" w:after="120" w:line="226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Справочно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 Перспективным направлением развития агрогородков являются агрогородки нового уровня – деревни будущего. Этот статус</w:t>
      </w:r>
      <w:r w:rsidR="00C452E4"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имеют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Морочь Клецкого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Острошицы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Логойского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Снов Несвижского района и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Озеро Узденского района.</w:t>
      </w:r>
    </w:p>
    <w:p w14:paraId="794EFF01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Туристические районы (Логойский и Мядельский)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будут нацелены на комплексное расширение различных видов туристических услуг.</w:t>
      </w:r>
    </w:p>
    <w:p w14:paraId="298E1312" w14:textId="77777777" w:rsidR="00E019C9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>Особое внимание будет уделяться развитию районов, включающих города-спутники города Минска (Дзержинск и Фаниполь Дзержинского района, Логойск, Заславль Минского района, Смолевичи, Руденск Пуховичского района).</w:t>
      </w:r>
    </w:p>
    <w:p w14:paraId="32FC46D6" w14:textId="2E345AD9" w:rsidR="000B0C3F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Продолжится развитие особых экономических зон: территории СЭЗ «Минск» (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участки которой располагаются на территориях Минского, Смолевичского, Молодечненского, Дзержинского, Борисовского, Столбцовского районов и г. Жодино) и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Китайско-Белорусского индустриального парка «Великий камень».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7A1F55D" w14:textId="7ADBF8AF" w:rsidR="00936F22" w:rsidRPr="00A23685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В целях увеличения престижа сельского образа жизни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предусматривается реализация задач по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повышению эффективности агропромышленного комплекса, внедрению повышенных стандартов комфортного проживания сельского населения за счет развития сферы услуг (торговля, общественное питание, бытовые и жилищно-коммунальные услуги, услуги связи),</w:t>
      </w:r>
      <w:r w:rsidRPr="00FF45A9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социальной, инженерной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и дорожно-транспортной инфраструктур, а также строительства жилья.</w:t>
      </w:r>
      <w:r w:rsidRPr="00A23685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sectPr w:rsidR="00936F22" w:rsidRPr="00A23685" w:rsidSect="00800783">
      <w:headerReference w:type="default" r:id="rId8"/>
      <w:headerReference w:type="firs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0CF3" w14:textId="77777777" w:rsidR="00D40ED0" w:rsidRDefault="00D40ED0">
      <w:pPr>
        <w:spacing w:after="0" w:line="240" w:lineRule="auto"/>
      </w:pPr>
      <w:r>
        <w:separator/>
      </w:r>
    </w:p>
  </w:endnote>
  <w:endnote w:type="continuationSeparator" w:id="0">
    <w:p w14:paraId="11AACBBB" w14:textId="77777777" w:rsidR="00D40ED0" w:rsidRDefault="00D4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7F1F" w14:textId="77777777" w:rsidR="00D40ED0" w:rsidRDefault="00D40ED0">
      <w:pPr>
        <w:spacing w:after="0" w:line="240" w:lineRule="auto"/>
      </w:pPr>
      <w:r>
        <w:separator/>
      </w:r>
    </w:p>
  </w:footnote>
  <w:footnote w:type="continuationSeparator" w:id="0">
    <w:p w14:paraId="0A3A1B1E" w14:textId="77777777" w:rsidR="00D40ED0" w:rsidRDefault="00D4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0084C" w14:textId="705C1F0C" w:rsidR="00800783" w:rsidRPr="00800783" w:rsidRDefault="0080078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7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7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00783">
          <w:rPr>
            <w:rFonts w:ascii="Times New Roman" w:hAnsi="Times New Roman" w:cs="Times New Roman"/>
            <w:sz w:val="28"/>
            <w:szCs w:val="28"/>
          </w:rPr>
          <w:t>2</w: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A59EAC" w14:textId="77777777" w:rsidR="00800783" w:rsidRPr="00800783" w:rsidRDefault="00800783">
    <w:pPr>
      <w:pStyle w:val="ae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30D4" w14:textId="5EB7A8A1" w:rsidR="00800783" w:rsidRDefault="00800783">
    <w:pPr>
      <w:pStyle w:val="ae"/>
      <w:jc w:val="center"/>
    </w:pPr>
  </w:p>
  <w:p w14:paraId="61D0BE21" w14:textId="77777777" w:rsidR="00800783" w:rsidRDefault="008007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D3459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82474963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0AA7E176" wp14:editId="6581135A">
            <wp:extent cx="95250" cy="95250"/>
            <wp:effectExtent l="0" t="0" r="0" b="0"/>
            <wp:docPr id="2082474963" name="Рисунок 2082474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FC59AD"/>
    <w:multiLevelType w:val="hybridMultilevel"/>
    <w:tmpl w:val="CA662F20"/>
    <w:lvl w:ilvl="0" w:tplc="89BEE6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i w:val="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B3CB0"/>
    <w:multiLevelType w:val="hybridMultilevel"/>
    <w:tmpl w:val="CA70DD84"/>
    <w:lvl w:ilvl="0" w:tplc="C0342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87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4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8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C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06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0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165BD"/>
    <w:multiLevelType w:val="hybridMultilevel"/>
    <w:tmpl w:val="9EA6D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718211">
    <w:abstractNumId w:val="2"/>
  </w:num>
  <w:num w:numId="2" w16cid:durableId="2115858634">
    <w:abstractNumId w:val="0"/>
  </w:num>
  <w:num w:numId="3" w16cid:durableId="6768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F"/>
    <w:rsid w:val="00021799"/>
    <w:rsid w:val="00075A02"/>
    <w:rsid w:val="00096BB5"/>
    <w:rsid w:val="000A6068"/>
    <w:rsid w:val="000B0C3F"/>
    <w:rsid w:val="000B202B"/>
    <w:rsid w:val="000E4643"/>
    <w:rsid w:val="000F3556"/>
    <w:rsid w:val="0010351D"/>
    <w:rsid w:val="0011146E"/>
    <w:rsid w:val="001413C7"/>
    <w:rsid w:val="00142D0C"/>
    <w:rsid w:val="00145653"/>
    <w:rsid w:val="0014668A"/>
    <w:rsid w:val="00156717"/>
    <w:rsid w:val="001637BF"/>
    <w:rsid w:val="00163EDB"/>
    <w:rsid w:val="00185E69"/>
    <w:rsid w:val="00195361"/>
    <w:rsid w:val="001A209E"/>
    <w:rsid w:val="001A5D03"/>
    <w:rsid w:val="001B676B"/>
    <w:rsid w:val="00201CDC"/>
    <w:rsid w:val="00222D8E"/>
    <w:rsid w:val="00233E9E"/>
    <w:rsid w:val="00236758"/>
    <w:rsid w:val="002521D7"/>
    <w:rsid w:val="00272400"/>
    <w:rsid w:val="002917CB"/>
    <w:rsid w:val="00292722"/>
    <w:rsid w:val="002C1791"/>
    <w:rsid w:val="002E3606"/>
    <w:rsid w:val="002F2781"/>
    <w:rsid w:val="00310851"/>
    <w:rsid w:val="00312E38"/>
    <w:rsid w:val="00330713"/>
    <w:rsid w:val="00356314"/>
    <w:rsid w:val="00373E20"/>
    <w:rsid w:val="003B365D"/>
    <w:rsid w:val="003D6026"/>
    <w:rsid w:val="003F7E49"/>
    <w:rsid w:val="00411EC4"/>
    <w:rsid w:val="00421508"/>
    <w:rsid w:val="00434FA6"/>
    <w:rsid w:val="00450661"/>
    <w:rsid w:val="0045534E"/>
    <w:rsid w:val="00467275"/>
    <w:rsid w:val="004735D5"/>
    <w:rsid w:val="00477C1F"/>
    <w:rsid w:val="00497A82"/>
    <w:rsid w:val="004A5C48"/>
    <w:rsid w:val="004B2F99"/>
    <w:rsid w:val="004E55DA"/>
    <w:rsid w:val="004E7F77"/>
    <w:rsid w:val="00504A84"/>
    <w:rsid w:val="00530A00"/>
    <w:rsid w:val="00534FEF"/>
    <w:rsid w:val="00551654"/>
    <w:rsid w:val="005550C5"/>
    <w:rsid w:val="00570F1E"/>
    <w:rsid w:val="005B1BF3"/>
    <w:rsid w:val="005B2942"/>
    <w:rsid w:val="005E08A2"/>
    <w:rsid w:val="00605091"/>
    <w:rsid w:val="00611398"/>
    <w:rsid w:val="00635CB9"/>
    <w:rsid w:val="00640B8E"/>
    <w:rsid w:val="00650077"/>
    <w:rsid w:val="006811C8"/>
    <w:rsid w:val="00681215"/>
    <w:rsid w:val="006872D7"/>
    <w:rsid w:val="006A37E7"/>
    <w:rsid w:val="006C5AE0"/>
    <w:rsid w:val="006C7D46"/>
    <w:rsid w:val="006E01A5"/>
    <w:rsid w:val="006E1CB4"/>
    <w:rsid w:val="007034D6"/>
    <w:rsid w:val="00743C37"/>
    <w:rsid w:val="00747CF3"/>
    <w:rsid w:val="007504D9"/>
    <w:rsid w:val="00755E08"/>
    <w:rsid w:val="00765201"/>
    <w:rsid w:val="007E042E"/>
    <w:rsid w:val="00800783"/>
    <w:rsid w:val="00833F64"/>
    <w:rsid w:val="00835CBB"/>
    <w:rsid w:val="00837051"/>
    <w:rsid w:val="00850F28"/>
    <w:rsid w:val="00854282"/>
    <w:rsid w:val="00860185"/>
    <w:rsid w:val="008B1CE1"/>
    <w:rsid w:val="008B4C50"/>
    <w:rsid w:val="008D0FF4"/>
    <w:rsid w:val="008F25D3"/>
    <w:rsid w:val="00911F7B"/>
    <w:rsid w:val="00936F22"/>
    <w:rsid w:val="009427E2"/>
    <w:rsid w:val="009773DE"/>
    <w:rsid w:val="00993B5F"/>
    <w:rsid w:val="009A1A01"/>
    <w:rsid w:val="009C3465"/>
    <w:rsid w:val="009C73A8"/>
    <w:rsid w:val="009D4F95"/>
    <w:rsid w:val="009E1B40"/>
    <w:rsid w:val="00A01B3F"/>
    <w:rsid w:val="00A15D70"/>
    <w:rsid w:val="00A23685"/>
    <w:rsid w:val="00A476AC"/>
    <w:rsid w:val="00AA5A4E"/>
    <w:rsid w:val="00AA6788"/>
    <w:rsid w:val="00AA7F9C"/>
    <w:rsid w:val="00AB4249"/>
    <w:rsid w:val="00AC14D2"/>
    <w:rsid w:val="00AC5192"/>
    <w:rsid w:val="00B119DC"/>
    <w:rsid w:val="00B16644"/>
    <w:rsid w:val="00B430BF"/>
    <w:rsid w:val="00B46DC3"/>
    <w:rsid w:val="00B53AAE"/>
    <w:rsid w:val="00B5792D"/>
    <w:rsid w:val="00B632F9"/>
    <w:rsid w:val="00B9133E"/>
    <w:rsid w:val="00B952BD"/>
    <w:rsid w:val="00BB0E47"/>
    <w:rsid w:val="00BB17ED"/>
    <w:rsid w:val="00BB6ECF"/>
    <w:rsid w:val="00BD7443"/>
    <w:rsid w:val="00BF79A3"/>
    <w:rsid w:val="00C16142"/>
    <w:rsid w:val="00C21B8F"/>
    <w:rsid w:val="00C317BC"/>
    <w:rsid w:val="00C3290F"/>
    <w:rsid w:val="00C452E4"/>
    <w:rsid w:val="00C76A2E"/>
    <w:rsid w:val="00C808AD"/>
    <w:rsid w:val="00C96ACC"/>
    <w:rsid w:val="00CA6530"/>
    <w:rsid w:val="00CA7305"/>
    <w:rsid w:val="00CC76F0"/>
    <w:rsid w:val="00CF6D08"/>
    <w:rsid w:val="00D03107"/>
    <w:rsid w:val="00D21304"/>
    <w:rsid w:val="00D25A3D"/>
    <w:rsid w:val="00D350B8"/>
    <w:rsid w:val="00D40ED0"/>
    <w:rsid w:val="00D43E3F"/>
    <w:rsid w:val="00D6379B"/>
    <w:rsid w:val="00D87B1D"/>
    <w:rsid w:val="00DA2F11"/>
    <w:rsid w:val="00DA6DFB"/>
    <w:rsid w:val="00DB01D0"/>
    <w:rsid w:val="00DD3D0C"/>
    <w:rsid w:val="00E019C9"/>
    <w:rsid w:val="00E110BA"/>
    <w:rsid w:val="00E11C13"/>
    <w:rsid w:val="00E6444F"/>
    <w:rsid w:val="00E648E2"/>
    <w:rsid w:val="00E7791F"/>
    <w:rsid w:val="00E801DF"/>
    <w:rsid w:val="00EC7BCF"/>
    <w:rsid w:val="00ED4C98"/>
    <w:rsid w:val="00EE378B"/>
    <w:rsid w:val="00EF042A"/>
    <w:rsid w:val="00F1726A"/>
    <w:rsid w:val="00F42B24"/>
    <w:rsid w:val="00F605B2"/>
    <w:rsid w:val="00F64ED7"/>
    <w:rsid w:val="00F93D2D"/>
    <w:rsid w:val="00FF281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3525"/>
  <w15:chartTrackingRefBased/>
  <w15:docId w15:val="{DF0E68C0-B1F0-4C26-B146-B337A37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E3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4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3E3F"/>
  </w:style>
  <w:style w:type="paragraph" w:styleId="ae">
    <w:name w:val="header"/>
    <w:basedOn w:val="a"/>
    <w:link w:val="af"/>
    <w:uiPriority w:val="99"/>
    <w:unhideWhenUsed/>
    <w:rsid w:val="0080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83"/>
  </w:style>
  <w:style w:type="paragraph" w:styleId="af0">
    <w:name w:val="Normal (Web)"/>
    <w:basedOn w:val="a"/>
    <w:uiPriority w:val="99"/>
    <w:unhideWhenUsed/>
    <w:rsid w:val="0037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rsid w:val="00AC14D2"/>
  </w:style>
  <w:style w:type="paragraph" w:customStyle="1" w:styleId="p-normal">
    <w:name w:val="p-normal"/>
    <w:basedOn w:val="a"/>
    <w:rsid w:val="00AC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9AA6-F770-4E98-8F99-6EF187F8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Ольга Владиславовна</dc:creator>
  <cp:keywords/>
  <dc:description/>
  <cp:lastModifiedBy>Рубан Алла Валентиновна</cp:lastModifiedBy>
  <cp:revision>2</cp:revision>
  <cp:lastPrinted>2026-03-17T11:44:00Z</cp:lastPrinted>
  <dcterms:created xsi:type="dcterms:W3CDTF">2026-03-17T11:52:00Z</dcterms:created>
  <dcterms:modified xsi:type="dcterms:W3CDTF">2026-03-17T11:52:00Z</dcterms:modified>
</cp:coreProperties>
</file>