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567FED" w:rsidRPr="00567FED" w14:paraId="700D8B10" w14:textId="77777777" w:rsidTr="00567FED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28D1" w14:textId="77777777" w:rsidR="00567FED" w:rsidRPr="00567FED" w:rsidRDefault="00567FED" w:rsidP="00567FED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t>УТВЕРЖДЕНО</w:t>
            </w:r>
          </w:p>
          <w:p w14:paraId="03779FB0" w14:textId="77777777" w:rsidR="00567FED" w:rsidRPr="00567FED" w:rsidRDefault="00567FED" w:rsidP="00567FED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t>Постановление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br/>
              <w:t>Государственного комитета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br/>
              <w:t>по стандартизации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br/>
              <w:t>Республики Беларусь</w:t>
            </w:r>
          </w:p>
          <w:p w14:paraId="1F35DA89" w14:textId="77777777" w:rsidR="00567FED" w:rsidRPr="00567FED" w:rsidRDefault="00567FED" w:rsidP="00567FED">
            <w:pPr>
              <w:spacing w:after="0" w:line="240" w:lineRule="auto"/>
              <w:ind w:left="7938"/>
              <w:rPr>
                <w:rFonts w:ascii="Times New Roman" w:eastAsia="Times New Roman" w:hAnsi="Times New Roman" w:cs="Times New Roman"/>
                <w:color w:val="212529"/>
                <w:kern w:val="0"/>
                <w:sz w:val="26"/>
                <w:szCs w:val="26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lang w:eastAsia="ru-RU"/>
                <w14:ligatures w14:val="none"/>
              </w:rPr>
              <w:t>03.10.2025 № 121</w:t>
            </w:r>
          </w:p>
        </w:tc>
      </w:tr>
    </w:tbl>
    <w:p w14:paraId="529CE816" w14:textId="77777777" w:rsidR="00567FED" w:rsidRPr="00567FED" w:rsidRDefault="00567FED" w:rsidP="00567FE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</w:pPr>
      <w:bookmarkStart w:id="0" w:name="Заг_Утв_1"/>
      <w:bookmarkEnd w:id="0"/>
      <w:r w:rsidRPr="00567FED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РЕГЛАМЕНТ</w:t>
      </w:r>
      <w:r w:rsidRPr="00567FED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2.1.1 «Установление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более»</w:t>
      </w:r>
    </w:p>
    <w:p w14:paraId="688076D2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35B4689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</w:t>
      </w:r>
    </w:p>
    <w:p w14:paraId="7FADACFD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республиканские органы государственного управления и иные государственные организации, подчиненные Совету Министров Республики Беларусь, местные исполнительные и распорядительные органы базового территориального уровня – для подчиненных им (входящих в их состав, систему) государственных организаций;</w:t>
      </w:r>
    </w:p>
    <w:p w14:paraId="44D26118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Департамент по энергоэффективности Государственного комитета по стандартизации – для юридических лиц (с учетом филиалов, представительств, иных обособленных подразделений) с годовым суммарным потреблением топливно-энергетических ресурсов (далее, если не установлено иное, – ТЭР) 50 000 тонн условного топлива и более, в том числе имеющих источники тепловой энергии производительностью 0,5 Гкал/ч и более, за исключением государственных организаций, указанных в абзаце втором настоящего подпункта;</w:t>
      </w:r>
    </w:p>
    <w:p w14:paraId="55E3A0DF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областные и Минское городское управления по надзору за рациональным использованием топливно-энергетических ресурсов Государственного комитета по стандартизации – для юридических лиц (с учетом филиалов, представительств, иных обособленных подразделений), за исключением государственных организаций, указанных в абзаце втором настоящего подпункта, с годовым суммарным потреблением ТЭР:</w:t>
      </w:r>
    </w:p>
    <w:p w14:paraId="189F6BF9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от 300 до 50 000 тонн условного топлива, в том числе имеющих источники тепловой энергии производительностью 0,5 Гкал/ч и более;</w:t>
      </w:r>
    </w:p>
    <w:p w14:paraId="36FDE495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менее 300 тонн условного топлива, имеющих источники тепловой энергии производительностью 0,5 Гкал/ч и более;</w:t>
      </w:r>
    </w:p>
    <w:p w14:paraId="4536F9A7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914471E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hyperlink r:id="rId4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Закон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об административных процедурах;</w:t>
      </w:r>
    </w:p>
    <w:p w14:paraId="49F946BB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hyperlink r:id="rId5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Закон Республики Беларусь от 8 января 2015 г. № 239-З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«Об энергосбережении»;</w:t>
      </w:r>
    </w:p>
    <w:p w14:paraId="7B1B3EEF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hyperlink r:id="rId6" w:anchor="%D0%97%D0%B0%D0%B3_%D0%A3%D1%82%D0%B2_4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Положение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о порядке разработки, установления и пересмотра норм расхода и (или) предельных уровней потребления топливно-энергетических ресурсов, утвержденное постановлением Совета Министров Республики Беларусь от 18 марта 2016 г. № 216 (далее – Положение № 216);</w:t>
      </w:r>
    </w:p>
    <w:p w14:paraId="5F4A5035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hyperlink r:id="rId7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40F3E4FC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67A46851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1.3.1. в нормы расходов и (или) предельных уровней потребления ТЭР, подлежащие установлению согласно настоящему Регламенту, не включаются расходы ТЭР, указанные в </w:t>
      </w:r>
      <w:hyperlink r:id="rId8" w:anchor="%D0%97%D0%B0%D0%B3_%D0%A3%D1%82%D0%B2_4&amp;Point=4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пункте 4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Положения № 216, в том числе расход топлива для механических транспортных средств, судов, машин, механизмов и оборудования;</w:t>
      </w:r>
    </w:p>
    <w:p w14:paraId="2942E449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1.3.2. уполномоченные органы, указанные в абзаце втором </w:t>
      </w:r>
      <w:hyperlink r:id="rId9" w:anchor="%D0%97%D0%B0%D0%B3_%D0%A3%D1%82%D0%B2_1&amp;Point=1&amp;UnderPoint=1.1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подпункта 1.1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настоящего пункта, устанавливают нормы расхода и (или) предельные уровни потребления ТЭР после их согласования в соответствии с </w:t>
      </w:r>
      <w:hyperlink r:id="rId10" w:anchor="%D0%97%D0%B0%D0%B3_%D0%A3%D1%82%D0%B2_4&amp;Point=21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пунктом 21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Положения № 216;</w:t>
      </w:r>
    </w:p>
    <w:p w14:paraId="063C9DD7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lastRenderedPageBreak/>
        <w:t>1.3.3. дополнительные основания для отказа в осуществлении административной процедуры по сравнению с </w:t>
      </w:r>
      <w:hyperlink r:id="rId11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Законом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об административных процедурах определены в части третьей </w:t>
      </w:r>
      <w:hyperlink r:id="rId12" w:anchor="%D0%97%D0%B0%D0%B3_%D0%A3%D1%82%D0%B2_4&amp;Point=21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пункта 21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Положения № 216;</w:t>
      </w:r>
    </w:p>
    <w:p w14:paraId="5E7FE1FF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1.3.4. административные решения, принятые республиканскими органами государственного управления и иными государственными организациями, подчиненными Совету Министров Республики Беларусь, Минским городским исполнительным комитетом, обжалуются в судебном порядке.</w:t>
      </w:r>
    </w:p>
    <w:p w14:paraId="6B0DE9DF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0FD201FB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1"/>
        <w:gridCol w:w="4111"/>
        <w:gridCol w:w="2409"/>
      </w:tblGrid>
      <w:tr w:rsidR="00567FED" w:rsidRPr="00567FED" w14:paraId="71A624B1" w14:textId="77777777" w:rsidTr="00567FED">
        <w:trPr>
          <w:trHeight w:val="240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A2B84E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852BB4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EA680A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567FED" w:rsidRPr="00567FED" w14:paraId="0F57E83E" w14:textId="77777777" w:rsidTr="00567FE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A8B12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5F341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должно соответствовать требованиям части первой </w:t>
            </w:r>
            <w:hyperlink r:id="rId13" w:anchor="&amp;Article=14&amp;Point=5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пункта 5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статьи 14 Закона об административных процедурах и части второй </w:t>
            </w:r>
            <w:hyperlink r:id="rId14" w:anchor="%D0%97%D0%B0%D0%B3_%D0%A3%D1%82%D0%B2_4&amp;Point=22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пункта 22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Положения № 216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1C38E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в письменной форме: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br/>
              <w:t>в электронной форме посредством системы межведомственного электронного документооборота государственных органов</w:t>
            </w:r>
          </w:p>
        </w:tc>
      </w:tr>
      <w:tr w:rsidR="00567FED" w:rsidRPr="00567FED" w14:paraId="708442FB" w14:textId="77777777" w:rsidTr="00567FE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55B34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расчет текущих и (или) прогрессивных норм ТЭР или выписка из утвержденного отчета о результатах проведения энергетического обследования (энергоаудита) вместо расчета прогрессивных норм ТЭР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8BB13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должен соответствовать требованиям </w:t>
            </w:r>
            <w:hyperlink r:id="rId15" w:anchor="%D0%97%D0%B0%D0%B3_%D0%A3%D1%82%D0%B2_4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Положения № 216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, в том числе части второй </w:t>
            </w:r>
            <w:hyperlink r:id="rId16" w:anchor="%D0%97%D0%B0%D0%B3_%D0%A3%D1%82%D0%B2_4&amp;Point=22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пункта 22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Положения № 216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26D91EE" w14:textId="77777777" w:rsidR="00567FED" w:rsidRPr="00567FED" w:rsidRDefault="00567FED" w:rsidP="0056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</w:p>
        </w:tc>
      </w:tr>
      <w:tr w:rsidR="00567FED" w:rsidRPr="00567FED" w14:paraId="420FCEBD" w14:textId="77777777" w:rsidTr="00567FED">
        <w:trPr>
          <w:trHeight w:val="240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A8A33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текущие и (или) прогрессивные нормы ТЭР на рассматриваемый период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49979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представляются в трех экземплярах по примерным формам согласно </w:t>
            </w:r>
            <w:hyperlink r:id="rId17" w:anchor="%D0%9F%D1%80%D0%B8%D0%BB_1_%D0%A3%D1%82%D0%B2_4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приложению 1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к Положению № 216 (для производства продукции (оказания услуг, выполнения работ) и (или) согласно </w:t>
            </w:r>
            <w:hyperlink r:id="rId18" w:anchor="%D0%9F%D1%80%D0%B8%D0%BB_2_%D0%A3%D1%82%D0%B2_4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приложению 2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к Положению № 216 (для источников энергии);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br/>
              <w:t>должны соответствовать требованиям части второй </w:t>
            </w:r>
            <w:hyperlink r:id="rId19" w:anchor="%D0%97%D0%B0%D0%B3_%D0%A3%D1%82%D0%B2_4&amp;Point=22" w:history="1">
              <w:r w:rsidRPr="00567FED">
                <w:rPr>
                  <w:rFonts w:ascii="Times New Roman" w:eastAsia="Times New Roman" w:hAnsi="Times New Roman" w:cs="Times New Roman"/>
                  <w:color w:val="000CFF"/>
                  <w:kern w:val="0"/>
                  <w:u w:val="single"/>
                  <w:lang w:eastAsia="ru-RU"/>
                  <w14:ligatures w14:val="none"/>
                </w:rPr>
                <w:t>пункта 22</w:t>
              </w:r>
            </w:hyperlink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 Положения № 216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66093B9" w14:textId="77777777" w:rsidR="00567FED" w:rsidRPr="00567FED" w:rsidRDefault="00567FED" w:rsidP="0056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</w:p>
        </w:tc>
      </w:tr>
    </w:tbl>
    <w:p w14:paraId="737AFAC7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p w14:paraId="4FF3A77E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20" w:anchor="&amp;Article=15&amp;Point=2" w:history="1">
        <w:r w:rsidRPr="00567FED">
          <w:rPr>
            <w:rFonts w:ascii="Times New Roman" w:eastAsia="Times New Roman" w:hAnsi="Times New Roman" w:cs="Times New Roman"/>
            <w:color w:val="000CFF"/>
            <w:kern w:val="0"/>
            <w:sz w:val="24"/>
            <w:szCs w:val="24"/>
            <w:u w:val="single"/>
            <w:lang w:eastAsia="ru-RU"/>
            <w14:ligatures w14:val="none"/>
          </w:rPr>
          <w:t>пункта 2</w:t>
        </w:r>
      </w:hyperlink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статьи 15 Закона об административных процедурах.</w:t>
      </w:r>
    </w:p>
    <w:p w14:paraId="516D68B6" w14:textId="29DED72A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D56E315" w14:textId="7777777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8"/>
        <w:gridCol w:w="3827"/>
        <w:gridCol w:w="1985"/>
      </w:tblGrid>
      <w:tr w:rsidR="00567FED" w:rsidRPr="00567FED" w14:paraId="0C2AFBA0" w14:textId="77777777" w:rsidTr="00567FED">
        <w:trPr>
          <w:trHeight w:val="240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29C15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AAA6C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A8AE14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567FED" w:rsidRPr="00567FED" w14:paraId="2014C4CE" w14:textId="77777777" w:rsidTr="00567FED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3F21A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утвержденные нормы расхода и (или) предельные уровни потребления ТЭР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BCC7F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период, на который устанавливаются нормы расхода и (или) предельные уровни потребления ТЭР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12A69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53BA7F67" w14:textId="77777777" w:rsid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</w:p>
    <w:p w14:paraId="344149B9" w14:textId="26DEFDC7" w:rsidR="00567FED" w:rsidRPr="00567FED" w:rsidRDefault="00567FED" w:rsidP="00567F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</w:pPr>
      <w:r w:rsidRPr="00567FED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38"/>
        <w:gridCol w:w="2694"/>
      </w:tblGrid>
      <w:tr w:rsidR="00567FED" w:rsidRPr="00567FED" w14:paraId="2E84B851" w14:textId="77777777" w:rsidTr="00567FED">
        <w:trPr>
          <w:trHeight w:val="240"/>
        </w:trPr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E7A8F8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4A1141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jc w:val="center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567FED" w:rsidRPr="00567FED" w14:paraId="3D90F105" w14:textId="77777777" w:rsidTr="00567FED">
        <w:trPr>
          <w:trHeight w:val="24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FBCC4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 xml:space="preserve">Департамент по энергоэффективности Государственного комитета по стандартизации – в отношении административного решения, принятого </w:t>
            </w: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lastRenderedPageBreak/>
              <w:t>областным, Минским городским управлениями по надзору за рациональным использованием топливно-энергетических ресурсов Государственного комитета по стандартизации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96DA9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lastRenderedPageBreak/>
              <w:t>письменная</w:t>
            </w:r>
          </w:p>
        </w:tc>
      </w:tr>
      <w:tr w:rsidR="00567FED" w:rsidRPr="00567FED" w14:paraId="1017B27C" w14:textId="77777777" w:rsidTr="00567FED">
        <w:trPr>
          <w:trHeight w:val="24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B13C5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Государственный комитет по стандартизации – в отношении административного решения, принятого Департаментом по энергоэффективности Государственного комитета по стандартизации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B26D4C" w14:textId="77777777" w:rsidR="00567FED" w:rsidRPr="00567FED" w:rsidRDefault="00567FED" w:rsidP="0056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</w:p>
        </w:tc>
      </w:tr>
      <w:tr w:rsidR="00567FED" w:rsidRPr="00567FED" w14:paraId="3BE0E298" w14:textId="77777777" w:rsidTr="00567FED">
        <w:trPr>
          <w:trHeight w:val="240"/>
        </w:trPr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70986" w14:textId="77777777" w:rsidR="00567FED" w:rsidRPr="00567FED" w:rsidRDefault="00567FED" w:rsidP="00567FED">
            <w:pPr>
              <w:spacing w:before="45" w:after="45" w:line="216" w:lineRule="atLeast"/>
              <w:ind w:left="45" w:right="45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  <w:r w:rsidRPr="00567FED"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  <w:t>областной исполнительный комитет – в отношении административного решения, принятого соответствующим местным исполнительным и распорядительным органом базового территориального уровня (кроме Минского городского исполнительного комитета)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CA548A7" w14:textId="77777777" w:rsidR="00567FED" w:rsidRPr="00567FED" w:rsidRDefault="00567FED" w:rsidP="00567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lang w:eastAsia="ru-RU"/>
                <w14:ligatures w14:val="none"/>
              </w:rPr>
            </w:pPr>
          </w:p>
        </w:tc>
      </w:tr>
    </w:tbl>
    <w:p w14:paraId="0A81DAB9" w14:textId="77777777" w:rsidR="00FF47DE" w:rsidRDefault="00FF47DE" w:rsidP="00567FED"/>
    <w:sectPr w:rsidR="00FF47DE" w:rsidSect="00567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D"/>
    <w:rsid w:val="00124E52"/>
    <w:rsid w:val="001D36C0"/>
    <w:rsid w:val="00567FED"/>
    <w:rsid w:val="0077159C"/>
    <w:rsid w:val="008A4EBE"/>
    <w:rsid w:val="00930F2A"/>
    <w:rsid w:val="00A1518A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EAFE"/>
  <w15:chartTrackingRefBased/>
  <w15:docId w15:val="{4978ADB7-F0F8-49A9-8F37-99D2AC0E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F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F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F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F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F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F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F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F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F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F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C21600216" TargetMode="External"/><Relationship Id="rId13" Type="http://schemas.openxmlformats.org/officeDocument/2006/relationships/hyperlink" Target="https://etalonline.by/webnpa/text.asp?RN=H10800433" TargetMode="External"/><Relationship Id="rId18" Type="http://schemas.openxmlformats.org/officeDocument/2006/relationships/hyperlink" Target="https://etalonline.by/webnpa/text.asp?RN=C2160021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etalonline.by/webnpa/text.asp?RN=C22100548" TargetMode="External"/><Relationship Id="rId12" Type="http://schemas.openxmlformats.org/officeDocument/2006/relationships/hyperlink" Target="https://etalonline.by/webnpa/text.asp?RN=C21600216" TargetMode="External"/><Relationship Id="rId17" Type="http://schemas.openxmlformats.org/officeDocument/2006/relationships/hyperlink" Target="https://etalonline.by/webnpa/text.asp?RN=C216002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talonline.by/webnpa/text.asp?RN=C21600216" TargetMode="External"/><Relationship Id="rId20" Type="http://schemas.openxmlformats.org/officeDocument/2006/relationships/hyperlink" Target="https://etalonline.by/webnpa/text.asp?RN=H10800433" TargetMode="Externa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1600216" TargetMode="External"/><Relationship Id="rId11" Type="http://schemas.openxmlformats.org/officeDocument/2006/relationships/hyperlink" Target="https://etalonline.by/webnpa/text.asp?RN=H10800433" TargetMode="External"/><Relationship Id="rId5" Type="http://schemas.openxmlformats.org/officeDocument/2006/relationships/hyperlink" Target="https://etalonline.by/webnpa/text.asp?RN=H11500239" TargetMode="External"/><Relationship Id="rId15" Type="http://schemas.openxmlformats.org/officeDocument/2006/relationships/hyperlink" Target="https://etalonline.by/webnpa/text.asp?RN=C21600216" TargetMode="External"/><Relationship Id="rId10" Type="http://schemas.openxmlformats.org/officeDocument/2006/relationships/hyperlink" Target="https://etalonline.by/webnpa/text.asp?RN=C21600216" TargetMode="External"/><Relationship Id="rId19" Type="http://schemas.openxmlformats.org/officeDocument/2006/relationships/hyperlink" Target="https://etalonline.by/webnpa/text.asp?RN=C21600216" TargetMode="External"/><Relationship Id="rId4" Type="http://schemas.openxmlformats.org/officeDocument/2006/relationships/hyperlink" Target="https://etalonline.by/webnpa/text.asp?RN=H10800433" TargetMode="External"/><Relationship Id="rId9" Type="http://schemas.openxmlformats.org/officeDocument/2006/relationships/hyperlink" Target="https://etalonline.by/document/?regnum=W22544013" TargetMode="External"/><Relationship Id="rId14" Type="http://schemas.openxmlformats.org/officeDocument/2006/relationships/hyperlink" Target="https://etalonline.by/webnpa/text.asp?RN=C2160021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1283</Words>
  <Characters>7315</Characters>
  <Application>Microsoft Office Word</Application>
  <DocSecurity>0</DocSecurity>
  <Lines>60</Lines>
  <Paragraphs>17</Paragraphs>
  <ScaleCrop>false</ScaleCrop>
  <Company/>
  <LinksUpToDate>false</LinksUpToDate>
  <CharactersWithSpaces>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2025-11-18T11:28:00Z</cp:lastPrinted>
  <dcterms:created xsi:type="dcterms:W3CDTF">2025-11-18T11:09:00Z</dcterms:created>
  <dcterms:modified xsi:type="dcterms:W3CDTF">2025-11-18T11:28:00Z</dcterms:modified>
</cp:coreProperties>
</file>