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B06A6F" w:rsidTr="008B113D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F" w:rsidRPr="00C6398D" w:rsidRDefault="00B06A6F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22.9</w:t>
            </w:r>
            <w:r w:rsidRPr="00C6398D">
              <w:rPr>
                <w:b/>
                <w:sz w:val="30"/>
                <w:szCs w:val="30"/>
                <w:vertAlign w:val="superscript"/>
                <w:lang w:eastAsia="zh-CN" w:bidi="hi-IN"/>
              </w:rPr>
              <w:t>1</w:t>
            </w:r>
            <w:r w:rsidR="00AD45EA">
              <w:rPr>
                <w:b/>
                <w:sz w:val="30"/>
                <w:szCs w:val="30"/>
                <w:vertAlign w:val="superscript"/>
                <w:lang w:eastAsia="zh-CN" w:bidi="hi-IN"/>
              </w:rPr>
              <w:t xml:space="preserve"> </w:t>
            </w:r>
          </w:p>
          <w:p w:rsidR="00B06A6F" w:rsidRPr="009B7A33" w:rsidRDefault="00B06A6F" w:rsidP="008B113D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</w:rPr>
            </w:pPr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машино</w:t>
            </w:r>
            <w:proofErr w:type="spellEnd"/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-места по единой </w:t>
            </w:r>
            <w:proofErr w:type="spellStart"/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клаc</w:t>
            </w:r>
            <w:r w:rsidR="00E8480B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с</w:t>
            </w:r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>ификации</w:t>
            </w:r>
            <w:proofErr w:type="spellEnd"/>
            <w:r w:rsidRPr="009B7A33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</w:rPr>
              <w:t xml:space="preserve"> назначения объектов недвижимого имущества без проведения строительно-монтажных работ</w:t>
            </w:r>
          </w:p>
        </w:tc>
      </w:tr>
      <w:tr w:rsidR="00B06A6F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A6F" w:rsidRPr="004774A5" w:rsidRDefault="00B06A6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A6F" w:rsidRPr="00C6398D" w:rsidRDefault="00B06A6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B06A6F" w:rsidRDefault="00B06A6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B06A6F" w:rsidRPr="009B7A33" w:rsidRDefault="00B06A6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B06A6F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126B3B" w:rsidRDefault="00B06A6F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Default="00B06A6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B06A6F" w:rsidRDefault="00B06A6F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B06A6F" w:rsidRDefault="00B06A6F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B06A6F" w:rsidRPr="00C6398D" w:rsidRDefault="00B06A6F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B06A6F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A6F" w:rsidRPr="004774A5" w:rsidRDefault="00B06A6F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технический паспорт или ведомость технических характеристик</w:t>
            </w:r>
          </w:p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B06A6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861D63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1641EA" w:rsidP="00861D63">
            <w:pPr>
              <w:suppressAutoHyphens/>
              <w:spacing w:before="120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машино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-место и земельный участок, на котором это капитальное строение, изолированное помещение, </w:t>
            </w:r>
            <w:proofErr w:type="spellStart"/>
            <w:r>
              <w:rPr>
                <w:sz w:val="26"/>
                <w:szCs w:val="26"/>
                <w:lang w:eastAsia="zh-CN" w:bidi="hi-IN"/>
              </w:rPr>
              <w:t>машино</w:t>
            </w:r>
            <w:proofErr w:type="spellEnd"/>
            <w:r>
              <w:rPr>
                <w:sz w:val="26"/>
                <w:szCs w:val="26"/>
                <w:lang w:eastAsia="zh-CN" w:bidi="hi-IN"/>
              </w:rPr>
              <w:t xml:space="preserve">-место </w:t>
            </w:r>
            <w:proofErr w:type="gramStart"/>
            <w:r>
              <w:rPr>
                <w:sz w:val="26"/>
                <w:szCs w:val="26"/>
                <w:lang w:eastAsia="zh-CN" w:bidi="hi-IN"/>
              </w:rPr>
              <w:t>расположены,  -</w:t>
            </w:r>
            <w:proofErr w:type="gramEnd"/>
            <w:r>
              <w:rPr>
                <w:sz w:val="26"/>
                <w:szCs w:val="26"/>
                <w:lang w:eastAsia="zh-CN" w:bidi="hi-IN"/>
              </w:rPr>
              <w:t xml:space="preserve"> из ЕГРНИ</w:t>
            </w:r>
          </w:p>
        </w:tc>
      </w:tr>
      <w:tr w:rsidR="00B06A6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B06A6F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6A6F" w:rsidRPr="004774A5" w:rsidRDefault="00B06A6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дней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подачи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заявления</w:t>
            </w:r>
          </w:p>
          <w:p w:rsidR="00B06A6F" w:rsidRPr="004774A5" w:rsidRDefault="00B06A6F" w:rsidP="008B113D">
            <w:pPr>
              <w:suppressAutoHyphens/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B06A6F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бессрочно</w:t>
            </w:r>
            <w:proofErr w:type="spellEnd"/>
          </w:p>
          <w:p w:rsidR="00B06A6F" w:rsidRPr="004774A5" w:rsidRDefault="00B06A6F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B06A6F" w:rsidRDefault="00B06A6F" w:rsidP="00B06A6F">
      <w:pPr>
        <w:rPr>
          <w:sz w:val="26"/>
          <w:szCs w:val="26"/>
        </w:rPr>
      </w:pPr>
    </w:p>
    <w:p w:rsidR="0079130C" w:rsidRDefault="0079130C" w:rsidP="00B06A6F">
      <w:pPr>
        <w:rPr>
          <w:sz w:val="26"/>
          <w:szCs w:val="26"/>
        </w:rPr>
      </w:pPr>
    </w:p>
    <w:p w:rsidR="0079130C" w:rsidRDefault="0079130C" w:rsidP="00B06A6F">
      <w:pPr>
        <w:rPr>
          <w:sz w:val="26"/>
          <w:szCs w:val="26"/>
        </w:rPr>
      </w:pPr>
      <w:bookmarkStart w:id="0" w:name="_GoBack"/>
      <w:bookmarkEnd w:id="0"/>
    </w:p>
    <w:p w:rsidR="00B06A6F" w:rsidRDefault="00B06A6F" w:rsidP="00B06A6F">
      <w:pPr>
        <w:rPr>
          <w:sz w:val="26"/>
          <w:szCs w:val="26"/>
        </w:rPr>
      </w:pPr>
    </w:p>
    <w:p w:rsidR="00B06A6F" w:rsidRDefault="00B06A6F" w:rsidP="00B06A6F">
      <w:pPr>
        <w:rPr>
          <w:sz w:val="26"/>
          <w:szCs w:val="26"/>
        </w:rPr>
      </w:pPr>
    </w:p>
    <w:p w:rsidR="00B06A6F" w:rsidRDefault="00B06A6F" w:rsidP="00B06A6F">
      <w:pPr>
        <w:rPr>
          <w:sz w:val="26"/>
          <w:szCs w:val="26"/>
        </w:rPr>
      </w:pPr>
    </w:p>
    <w:p w:rsidR="00B06A6F" w:rsidRPr="000347DE" w:rsidRDefault="00B06A6F" w:rsidP="00B06A6F">
      <w:pPr>
        <w:rPr>
          <w:sz w:val="30"/>
          <w:szCs w:val="30"/>
          <w:vertAlign w:val="superscript"/>
        </w:rPr>
      </w:pPr>
      <w:r w:rsidRPr="00D95970">
        <w:rPr>
          <w:sz w:val="30"/>
          <w:szCs w:val="30"/>
        </w:rPr>
        <w:lastRenderedPageBreak/>
        <w:t>Процедура 22.9</w:t>
      </w:r>
      <w:r>
        <w:rPr>
          <w:sz w:val="30"/>
          <w:szCs w:val="30"/>
          <w:vertAlign w:val="superscript"/>
        </w:rPr>
        <w:t>1</w:t>
      </w:r>
    </w:p>
    <w:tbl>
      <w:tblPr>
        <w:tblW w:w="5954" w:type="dxa"/>
        <w:tblInd w:w="4077" w:type="dxa"/>
        <w:tblLook w:val="04A0" w:firstRow="1" w:lastRow="0" w:firstColumn="1" w:lastColumn="0" w:noHBand="0" w:noVBand="1"/>
      </w:tblPr>
      <w:tblGrid>
        <w:gridCol w:w="5954"/>
      </w:tblGrid>
      <w:tr w:rsidR="00B06A6F" w:rsidRPr="001A1C28" w:rsidTr="008B113D">
        <w:tc>
          <w:tcPr>
            <w:tcW w:w="5954" w:type="dxa"/>
            <w:shd w:val="clear" w:color="auto" w:fill="auto"/>
          </w:tcPr>
          <w:p w:rsidR="00B06A6F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06A6F" w:rsidRPr="004774A5" w:rsidRDefault="00B06A6F" w:rsidP="008B113D">
            <w:pPr>
              <w:jc w:val="both"/>
              <w:rPr>
                <w:sz w:val="18"/>
                <w:szCs w:val="18"/>
              </w:rPr>
            </w:pPr>
            <w:r w:rsidRPr="004774A5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06A6F" w:rsidRPr="004774A5" w:rsidRDefault="00B06A6F" w:rsidP="008B113D">
            <w:pPr>
              <w:jc w:val="both"/>
              <w:rPr>
                <w:sz w:val="18"/>
                <w:szCs w:val="18"/>
              </w:rPr>
            </w:pPr>
            <w:r w:rsidRPr="004774A5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B06A6F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06A6F" w:rsidRPr="006136C0" w:rsidRDefault="00B06A6F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 w:rsidRPr="004774A5">
              <w:rPr>
                <w:sz w:val="30"/>
                <w:szCs w:val="30"/>
              </w:rPr>
              <w:tab/>
              <w:t>________________</w:t>
            </w:r>
          </w:p>
          <w:p w:rsidR="00B06A6F" w:rsidRPr="001A1C28" w:rsidRDefault="00B06A6F" w:rsidP="008B113D">
            <w:pPr>
              <w:jc w:val="both"/>
              <w:rPr>
                <w:sz w:val="30"/>
                <w:szCs w:val="30"/>
              </w:rPr>
            </w:pPr>
          </w:p>
        </w:tc>
      </w:tr>
    </w:tbl>
    <w:p w:rsidR="00B06A6F" w:rsidRDefault="00B06A6F" w:rsidP="00B06A6F">
      <w:pPr>
        <w:jc w:val="center"/>
        <w:rPr>
          <w:sz w:val="30"/>
          <w:szCs w:val="30"/>
        </w:rPr>
      </w:pPr>
    </w:p>
    <w:p w:rsidR="00B06A6F" w:rsidRPr="00532E7B" w:rsidRDefault="00B06A6F" w:rsidP="00B06A6F">
      <w:pPr>
        <w:jc w:val="center"/>
        <w:rPr>
          <w:sz w:val="30"/>
          <w:szCs w:val="30"/>
        </w:rPr>
      </w:pPr>
      <w:r w:rsidRPr="00532E7B">
        <w:rPr>
          <w:sz w:val="30"/>
          <w:szCs w:val="30"/>
        </w:rPr>
        <w:t>ЗАЯВЛЕНИЕ</w:t>
      </w:r>
    </w:p>
    <w:p w:rsidR="00B06A6F" w:rsidRPr="00532E7B" w:rsidRDefault="00B06A6F" w:rsidP="00B06A6F">
      <w:pPr>
        <w:jc w:val="center"/>
        <w:rPr>
          <w:sz w:val="30"/>
          <w:szCs w:val="30"/>
        </w:rPr>
      </w:pPr>
    </w:p>
    <w:p w:rsidR="00B06A6F" w:rsidRPr="003237C4" w:rsidRDefault="00B06A6F" w:rsidP="00B06A6F">
      <w:pPr>
        <w:ind w:firstLine="709"/>
        <w:jc w:val="both"/>
        <w:rPr>
          <w:sz w:val="30"/>
          <w:szCs w:val="30"/>
        </w:rPr>
      </w:pPr>
      <w:r w:rsidRPr="003237C4">
        <w:rPr>
          <w:sz w:val="30"/>
          <w:szCs w:val="30"/>
        </w:rPr>
        <w:t xml:space="preserve">Прошу принять решение о возможности изменения назначения капитального строения (изолированного помещения, </w:t>
      </w:r>
      <w:proofErr w:type="spellStart"/>
      <w:r w:rsidRPr="003237C4">
        <w:rPr>
          <w:sz w:val="30"/>
          <w:szCs w:val="30"/>
        </w:rPr>
        <w:t>машино</w:t>
      </w:r>
      <w:proofErr w:type="spellEnd"/>
      <w:r w:rsidRPr="003237C4">
        <w:rPr>
          <w:sz w:val="30"/>
          <w:szCs w:val="30"/>
        </w:rPr>
        <w:t>-места)</w:t>
      </w:r>
    </w:p>
    <w:p w:rsidR="00B06A6F" w:rsidRPr="003237C4" w:rsidRDefault="00B06A6F" w:rsidP="00B06A6F">
      <w:pPr>
        <w:jc w:val="both"/>
        <w:rPr>
          <w:sz w:val="30"/>
          <w:szCs w:val="30"/>
        </w:rPr>
      </w:pPr>
      <w:r w:rsidRPr="003237C4">
        <w:rPr>
          <w:sz w:val="30"/>
          <w:szCs w:val="30"/>
        </w:rPr>
        <w:t>___________________________________________________________</w:t>
      </w:r>
    </w:p>
    <w:p w:rsidR="00B06A6F" w:rsidRPr="003237C4" w:rsidRDefault="00B06A6F" w:rsidP="00B06A6F">
      <w:pPr>
        <w:jc w:val="center"/>
        <w:rPr>
          <w:sz w:val="24"/>
          <w:szCs w:val="24"/>
        </w:rPr>
      </w:pPr>
      <w:r w:rsidRPr="003237C4">
        <w:rPr>
          <w:sz w:val="24"/>
          <w:szCs w:val="24"/>
        </w:rPr>
        <w:t>(наименование объекта)</w:t>
      </w:r>
    </w:p>
    <w:p w:rsidR="00B06A6F" w:rsidRPr="003237C4" w:rsidRDefault="00B06A6F" w:rsidP="00B06A6F">
      <w:pPr>
        <w:jc w:val="both"/>
        <w:rPr>
          <w:sz w:val="30"/>
          <w:szCs w:val="30"/>
        </w:rPr>
      </w:pPr>
      <w:r w:rsidRPr="003237C4">
        <w:rPr>
          <w:sz w:val="30"/>
          <w:szCs w:val="30"/>
        </w:rPr>
        <w:t>по единой классификации назначения объектов недвижимого имущества без проведения строительно-монтажных работ, расположенн</w:t>
      </w:r>
      <w:r>
        <w:rPr>
          <w:sz w:val="30"/>
          <w:szCs w:val="30"/>
        </w:rPr>
        <w:t>ого</w:t>
      </w:r>
      <w:r w:rsidRPr="003237C4">
        <w:rPr>
          <w:sz w:val="30"/>
          <w:szCs w:val="30"/>
        </w:rPr>
        <w:t xml:space="preserve"> по адресу: </w:t>
      </w:r>
    </w:p>
    <w:p w:rsidR="00B06A6F" w:rsidRPr="00532E7B" w:rsidRDefault="00B06A6F" w:rsidP="00B06A6F">
      <w:pPr>
        <w:jc w:val="both"/>
        <w:rPr>
          <w:sz w:val="30"/>
          <w:szCs w:val="30"/>
        </w:rPr>
      </w:pPr>
      <w:r w:rsidRPr="00532E7B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______________________________</w:t>
      </w:r>
      <w:r w:rsidRPr="00532E7B">
        <w:rPr>
          <w:sz w:val="30"/>
          <w:szCs w:val="30"/>
        </w:rPr>
        <w:t>.</w:t>
      </w:r>
    </w:p>
    <w:p w:rsidR="00B06A6F" w:rsidRPr="00532E7B" w:rsidRDefault="00B06A6F" w:rsidP="00B06A6F">
      <w:pPr>
        <w:jc w:val="both"/>
        <w:rPr>
          <w:sz w:val="30"/>
          <w:szCs w:val="30"/>
        </w:rPr>
      </w:pPr>
    </w:p>
    <w:p w:rsidR="00B06A6F" w:rsidRPr="00532E7B" w:rsidRDefault="00B06A6F" w:rsidP="00B06A6F">
      <w:pPr>
        <w:jc w:val="both"/>
        <w:rPr>
          <w:color w:val="auto"/>
          <w:sz w:val="30"/>
          <w:szCs w:val="30"/>
        </w:rPr>
      </w:pPr>
      <w:r w:rsidRPr="00532E7B">
        <w:rPr>
          <w:color w:val="auto"/>
          <w:sz w:val="30"/>
          <w:szCs w:val="30"/>
        </w:rPr>
        <w:t>К заявлению прилагаю:</w:t>
      </w:r>
    </w:p>
    <w:p w:rsidR="00B06A6F" w:rsidRDefault="00B06A6F" w:rsidP="00B06A6F">
      <w:pPr>
        <w:ind w:firstLine="567"/>
        <w:jc w:val="both"/>
        <w:rPr>
          <w:color w:val="auto"/>
          <w:sz w:val="24"/>
          <w:szCs w:val="24"/>
        </w:rPr>
      </w:pPr>
    </w:p>
    <w:p w:rsidR="00B06A6F" w:rsidRDefault="00B06A6F" w:rsidP="00B06A6F">
      <w:pPr>
        <w:ind w:firstLine="567"/>
        <w:jc w:val="both"/>
        <w:rPr>
          <w:color w:val="auto"/>
          <w:sz w:val="24"/>
          <w:szCs w:val="24"/>
        </w:rPr>
      </w:pPr>
    </w:p>
    <w:p w:rsidR="00B06A6F" w:rsidRDefault="00B06A6F" w:rsidP="00B06A6F">
      <w:pPr>
        <w:ind w:firstLine="540"/>
        <w:jc w:val="both"/>
        <w:rPr>
          <w:i/>
          <w:iCs/>
          <w:sz w:val="18"/>
          <w:szCs w:val="18"/>
        </w:rPr>
      </w:pPr>
    </w:p>
    <w:p w:rsidR="00B06A6F" w:rsidRDefault="00B06A6F" w:rsidP="00B06A6F">
      <w:pPr>
        <w:jc w:val="both"/>
        <w:rPr>
          <w:sz w:val="30"/>
          <w:szCs w:val="30"/>
        </w:rPr>
      </w:pPr>
    </w:p>
    <w:p w:rsidR="00B06A6F" w:rsidRDefault="00B06A6F" w:rsidP="00B06A6F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B06A6F" w:rsidRDefault="00B06A6F" w:rsidP="00B06A6F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B06A6F" w:rsidRDefault="00B06A6F" w:rsidP="00B06A6F">
      <w:pPr>
        <w:pStyle w:val="newncpi0"/>
      </w:pPr>
    </w:p>
    <w:p w:rsidR="00B06A6F" w:rsidRDefault="00B06A6F" w:rsidP="00B06A6F">
      <w:pPr>
        <w:pStyle w:val="newncpi0"/>
        <w:rPr>
          <w:sz w:val="28"/>
          <w:szCs w:val="28"/>
        </w:rPr>
      </w:pPr>
    </w:p>
    <w:p w:rsidR="00B06A6F" w:rsidRDefault="00B06A6F" w:rsidP="00B06A6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311" w:tblpY="98"/>
        <w:tblW w:w="1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B06A6F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6A6F" w:rsidRPr="005A7ED3" w:rsidRDefault="00B06A6F" w:rsidP="008B113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06A6F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6A6F" w:rsidRPr="005A7ED3" w:rsidRDefault="00B06A6F" w:rsidP="008B11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B06A6F" w:rsidRDefault="00B06A6F" w:rsidP="00B06A6F">
      <w:pPr>
        <w:jc w:val="both"/>
        <w:rPr>
          <w:sz w:val="28"/>
          <w:szCs w:val="28"/>
        </w:rPr>
      </w:pPr>
    </w:p>
    <w:p w:rsidR="00B06A6F" w:rsidRDefault="00B06A6F" w:rsidP="00B06A6F">
      <w:pPr>
        <w:jc w:val="both"/>
        <w:rPr>
          <w:sz w:val="28"/>
          <w:szCs w:val="28"/>
        </w:rPr>
      </w:pPr>
    </w:p>
    <w:p w:rsidR="00B06A6F" w:rsidRDefault="00B06A6F" w:rsidP="00B06A6F">
      <w:pPr>
        <w:jc w:val="both"/>
        <w:rPr>
          <w:sz w:val="28"/>
          <w:szCs w:val="28"/>
        </w:rPr>
      </w:pPr>
    </w:p>
    <w:p w:rsidR="00B06A6F" w:rsidRDefault="00B06A6F" w:rsidP="00B06A6F">
      <w:pPr>
        <w:jc w:val="both"/>
        <w:rPr>
          <w:sz w:val="28"/>
          <w:szCs w:val="28"/>
        </w:rPr>
      </w:pPr>
    </w:p>
    <w:p w:rsidR="00B06A6F" w:rsidRDefault="00B06A6F" w:rsidP="00B06A6F">
      <w:pPr>
        <w:jc w:val="both"/>
        <w:rPr>
          <w:sz w:val="28"/>
          <w:szCs w:val="28"/>
        </w:rPr>
      </w:pPr>
    </w:p>
    <w:p w:rsidR="000D7684" w:rsidRDefault="0079130C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6F"/>
    <w:rsid w:val="001641EA"/>
    <w:rsid w:val="0079130C"/>
    <w:rsid w:val="007B7D8F"/>
    <w:rsid w:val="00847926"/>
    <w:rsid w:val="00861D63"/>
    <w:rsid w:val="009918A7"/>
    <w:rsid w:val="00AD45EA"/>
    <w:rsid w:val="00B06A6F"/>
    <w:rsid w:val="00E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0A2F"/>
  <w15:chartTrackingRefBased/>
  <w15:docId w15:val="{D2C7AB1B-27AC-49C5-A841-2B80E844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6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06A6F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B06A6F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AD45EA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D45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7</cp:revision>
  <dcterms:created xsi:type="dcterms:W3CDTF">2024-05-24T12:49:00Z</dcterms:created>
  <dcterms:modified xsi:type="dcterms:W3CDTF">2026-05-15T04:57:00Z</dcterms:modified>
</cp:coreProperties>
</file>