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B4A" w14:textId="4234694C" w:rsidR="001E2FD5" w:rsidRPr="00484227" w:rsidRDefault="001E2FD5" w:rsidP="009861B6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4AE5EF02" w14:textId="666EDFB7" w:rsidR="00131F05" w:rsidRPr="00A844FA" w:rsidRDefault="00131F05" w:rsidP="006C019C">
      <w:pPr>
        <w:spacing w:after="0" w:line="360" w:lineRule="auto"/>
        <w:ind w:left="4956" w:hanging="4956"/>
        <w:jc w:val="both"/>
        <w:rPr>
          <w:rFonts w:ascii="Times New Roman" w:eastAsiaTheme="majorEastAsia" w:hAnsi="Times New Roman" w:cs="Times New Roman"/>
          <w:b/>
          <w:bCs/>
          <w:sz w:val="30"/>
          <w:szCs w:val="30"/>
          <w:lang w:eastAsia="ru-RU"/>
        </w:rPr>
      </w:pPr>
      <w:r w:rsidRPr="00A844FA">
        <w:rPr>
          <w:rFonts w:ascii="Times New Roman" w:hAnsi="Times New Roman" w:cs="Times New Roman"/>
          <w:b/>
          <w:bCs/>
          <w:color w:val="262626" w:themeColor="text1" w:themeTint="D9"/>
          <w:sz w:val="30"/>
          <w:szCs w:val="30"/>
        </w:rPr>
        <w:t>О</w:t>
      </w:r>
      <w:r w:rsidR="00F529BA" w:rsidRPr="00A844FA">
        <w:rPr>
          <w:rFonts w:ascii="Times New Roman" w:hAnsi="Times New Roman" w:cs="Times New Roman"/>
          <w:b/>
          <w:bCs/>
          <w:color w:val="262626" w:themeColor="text1" w:themeTint="D9"/>
          <w:sz w:val="30"/>
          <w:szCs w:val="30"/>
        </w:rPr>
        <w:t xml:space="preserve">б </w:t>
      </w:r>
      <w:r w:rsidR="00F529BA" w:rsidRPr="00A844FA">
        <w:rPr>
          <w:rFonts w:ascii="Times New Roman" w:eastAsiaTheme="majorEastAsia" w:hAnsi="Times New Roman" w:cs="Times New Roman"/>
          <w:b/>
          <w:bCs/>
          <w:sz w:val="30"/>
          <w:szCs w:val="30"/>
          <w:lang w:eastAsia="ru-RU"/>
        </w:rPr>
        <w:t xml:space="preserve">участии в </w:t>
      </w:r>
      <w:r w:rsidR="00DF0BDA" w:rsidRPr="00A844FA">
        <w:rPr>
          <w:rFonts w:ascii="Times New Roman" w:eastAsiaTheme="majorEastAsia" w:hAnsi="Times New Roman" w:cs="Times New Roman"/>
          <w:b/>
          <w:bCs/>
          <w:sz w:val="30"/>
          <w:szCs w:val="30"/>
          <w:lang w:eastAsia="ru-RU"/>
        </w:rPr>
        <w:t>вебинаре</w:t>
      </w:r>
    </w:p>
    <w:p w14:paraId="551F798F" w14:textId="7F71D594" w:rsidR="00701E0A" w:rsidRPr="00701E0A" w:rsidRDefault="00701E0A" w:rsidP="00701E0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90179969"/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фонд финансовой поддержки предпринимателей</w:t>
      </w:r>
      <w:r w:rsidR="000F4B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Фонд) 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приглашает принять участие в </w:t>
      </w:r>
      <w:bookmarkStart w:id="1" w:name="_Hlk190179937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ебинаре </w:t>
      </w:r>
      <w:r w:rsidR="005E27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налогообложению</w:t>
      </w:r>
      <w:r w:rsidRPr="00701E0A">
        <w:rPr>
          <w:rFonts w:ascii="Calibri Light" w:eastAsia="Times New Roman" w:hAnsi="Calibri Light" w:cs="Times New Roman"/>
          <w:color w:val="1F4D78" w:themeColor="accent1" w:themeShade="7F"/>
          <w:sz w:val="30"/>
          <w:szCs w:val="30"/>
          <w:lang w:eastAsia="ru-RU"/>
        </w:rPr>
        <w:t xml:space="preserve"> 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Особенности налогообложения в 202</w:t>
      </w:r>
      <w:r w:rsidR="00D13D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году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38738AB" w14:textId="16438B49" w:rsidR="00701E0A" w:rsidRPr="00701E0A" w:rsidRDefault="00701E0A" w:rsidP="0070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Вебинар пройдет </w:t>
      </w:r>
      <w:r w:rsidRPr="00701E0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C166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166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марта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</w:t>
      </w:r>
      <w:r w:rsidR="00C166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г.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4BCD" w:rsidRPr="000F4B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10.00 до 13.00</w:t>
      </w:r>
      <w:r w:rsidR="000F4B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4BCD" w:rsidRPr="000F4B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часов</w:t>
      </w:r>
      <w:bookmarkEnd w:id="1"/>
      <w:r w:rsidR="000F4B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платформе</w:t>
      </w:r>
      <w:r w:rsidR="004D03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для видеоконференций</w:t>
      </w:r>
      <w:r w:rsidRPr="00701E0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Участие в вебинаре – бесплатное. Количество участников ограничено.</w:t>
      </w:r>
    </w:p>
    <w:p w14:paraId="6595CA2A" w14:textId="1BB1B0BD" w:rsidR="00701E0A" w:rsidRDefault="00701E0A" w:rsidP="0070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качестве лектора выступит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Бурдюк </w:t>
      </w:r>
      <w:r w:rsidR="00456E25">
        <w:rPr>
          <w:rFonts w:ascii="Times New Roman" w:eastAsia="Times New Roman" w:hAnsi="Times New Roman" w:cs="Times New Roman"/>
          <w:sz w:val="30"/>
          <w:szCs w:val="30"/>
          <w:lang w:eastAsia="ru-RU"/>
        </w:rPr>
        <w:t>О.А.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аудитор, </w:t>
      </w:r>
      <w:r w:rsidR="00072B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налоговый консультант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>. Целевая аудитория</w:t>
      </w:r>
      <w:r w:rsidR="002D6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701E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главные бухгалтеры и их заместители, бухгалтеры. </w:t>
      </w:r>
    </w:p>
    <w:p w14:paraId="004F5591" w14:textId="14420C31" w:rsidR="005E27B3" w:rsidRDefault="005E27B3" w:rsidP="005E27B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6C4D">
        <w:rPr>
          <w:rFonts w:ascii="Times New Roman" w:hAnsi="Times New Roman" w:cs="Times New Roman"/>
          <w:sz w:val="30"/>
          <w:szCs w:val="30"/>
        </w:rPr>
        <w:t xml:space="preserve">Ссылка для подключения к онлайн-переговорам будет направлена на электронный адрес участника </w:t>
      </w:r>
      <w:r w:rsidR="00C104C4">
        <w:rPr>
          <w:rFonts w:ascii="Times New Roman" w:hAnsi="Times New Roman" w:cs="Times New Roman"/>
          <w:sz w:val="30"/>
          <w:szCs w:val="30"/>
        </w:rPr>
        <w:t>в</w:t>
      </w:r>
      <w:r w:rsidRPr="00AD6C4D">
        <w:rPr>
          <w:rFonts w:ascii="Times New Roman" w:hAnsi="Times New Roman" w:cs="Times New Roman"/>
          <w:sz w:val="30"/>
          <w:szCs w:val="30"/>
        </w:rPr>
        <w:t xml:space="preserve"> день проведения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использования площадки Белорусского фонда финансовой поддержки предпринимателей </w:t>
      </w:r>
      <w:r w:rsidRPr="005E27B3">
        <w:rPr>
          <w:rFonts w:ascii="Times New Roman" w:hAnsi="Times New Roman" w:cs="Times New Roman"/>
          <w:b/>
          <w:bCs/>
          <w:sz w:val="30"/>
          <w:szCs w:val="30"/>
        </w:rPr>
        <w:t>для субъектов малого и среднего предпринимательства</w:t>
      </w:r>
      <w:r w:rsidR="00857D59" w:rsidRPr="00857D5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бесплатная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5EAF202A" w14:textId="18B2B96D" w:rsidR="005E27B3" w:rsidRDefault="00A844FA" w:rsidP="005E27B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С</w:t>
      </w:r>
      <w:r w:rsidR="005E27B3" w:rsidRPr="00570F4D">
        <w:rPr>
          <w:rFonts w:ascii="Times New Roman" w:hAnsi="Times New Roman" w:cs="Times New Roman"/>
          <w:spacing w:val="-8"/>
          <w:sz w:val="30"/>
          <w:szCs w:val="30"/>
        </w:rPr>
        <w:t>сылк</w:t>
      </w:r>
      <w:r>
        <w:rPr>
          <w:rFonts w:ascii="Times New Roman" w:hAnsi="Times New Roman" w:cs="Times New Roman"/>
          <w:spacing w:val="-8"/>
          <w:sz w:val="30"/>
          <w:szCs w:val="30"/>
        </w:rPr>
        <w:t>а</w:t>
      </w:r>
      <w:r w:rsidR="005E27B3">
        <w:rPr>
          <w:rFonts w:ascii="Times New Roman" w:hAnsi="Times New Roman" w:cs="Times New Roman"/>
          <w:spacing w:val="-8"/>
          <w:sz w:val="30"/>
          <w:szCs w:val="30"/>
        </w:rPr>
        <w:t xml:space="preserve"> на регистрацию</w:t>
      </w:r>
      <w:r>
        <w:rPr>
          <w:rFonts w:ascii="Times New Roman" w:hAnsi="Times New Roman" w:cs="Times New Roman"/>
          <w:spacing w:val="-8"/>
          <w:sz w:val="30"/>
          <w:szCs w:val="30"/>
        </w:rPr>
        <w:t>:</w:t>
      </w:r>
      <w:r w:rsidR="005E27B3" w:rsidRPr="00570F4D">
        <w:rPr>
          <w:rFonts w:ascii="Times New Roman" w:hAnsi="Times New Roman" w:cs="Times New Roman"/>
          <w:spacing w:val="-8"/>
          <w:sz w:val="30"/>
          <w:szCs w:val="30"/>
        </w:rPr>
        <w:t xml:space="preserve"> (</w:t>
      </w:r>
      <w:hyperlink r:id="rId8" w:history="1">
        <w:r w:rsidR="005E27B3" w:rsidRPr="00874331">
          <w:rPr>
            <w:rStyle w:val="ac"/>
            <w:rFonts w:ascii="Times New Roman" w:hAnsi="Times New Roman" w:cs="Times New Roman"/>
            <w:sz w:val="30"/>
            <w:szCs w:val="30"/>
          </w:rPr>
          <w:t>https://www.belarp.by/ru/osobennosti</w:t>
        </w:r>
      </w:hyperlink>
      <w:r w:rsidR="005E27B3" w:rsidRPr="00570F4D">
        <w:rPr>
          <w:rFonts w:ascii="Times New Roman" w:hAnsi="Times New Roman" w:cs="Times New Roman"/>
          <w:spacing w:val="-8"/>
          <w:sz w:val="30"/>
          <w:szCs w:val="30"/>
        </w:rPr>
        <w:t>)</w:t>
      </w:r>
      <w:r w:rsidR="005E27B3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</w:p>
    <w:p w14:paraId="6F92FB88" w14:textId="733D4CE7" w:rsidR="000F4BCD" w:rsidRPr="005E27B3" w:rsidRDefault="000F4BCD" w:rsidP="005E27B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приема заявок: </w:t>
      </w:r>
      <w:r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C166AF">
        <w:rPr>
          <w:rFonts w:ascii="Times New Roman" w:hAnsi="Times New Roman" w:cs="Times New Roman"/>
          <w:b/>
          <w:sz w:val="30"/>
          <w:szCs w:val="30"/>
        </w:rPr>
        <w:t>2</w:t>
      </w:r>
      <w:r w:rsidR="00857D59" w:rsidRPr="00857D59">
        <w:rPr>
          <w:rFonts w:ascii="Times New Roman" w:hAnsi="Times New Roman" w:cs="Times New Roman"/>
          <w:b/>
          <w:sz w:val="30"/>
          <w:szCs w:val="30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6AF">
        <w:rPr>
          <w:rFonts w:ascii="Times New Roman" w:hAnsi="Times New Roman" w:cs="Times New Roman"/>
          <w:b/>
          <w:sz w:val="30"/>
          <w:szCs w:val="30"/>
        </w:rPr>
        <w:t>марта</w:t>
      </w:r>
      <w:r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C166AF">
        <w:rPr>
          <w:rFonts w:ascii="Times New Roman" w:hAnsi="Times New Roman" w:cs="Times New Roman"/>
          <w:b/>
          <w:sz w:val="30"/>
          <w:szCs w:val="30"/>
        </w:rPr>
        <w:t>6</w:t>
      </w:r>
      <w:r w:rsidRPr="00BB1669">
        <w:rPr>
          <w:rFonts w:ascii="Times New Roman" w:hAnsi="Times New Roman" w:cs="Times New Roman"/>
          <w:b/>
          <w:sz w:val="30"/>
          <w:szCs w:val="30"/>
        </w:rPr>
        <w:t> г.</w:t>
      </w:r>
    </w:p>
    <w:p w14:paraId="090DF374" w14:textId="77777777" w:rsidR="000F4BCD" w:rsidRPr="00701E0A" w:rsidRDefault="000F4BCD" w:rsidP="000F4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701E0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Предварительная программа вебинара прилагается.</w:t>
      </w:r>
    </w:p>
    <w:bookmarkEnd w:id="0"/>
    <w:p w14:paraId="4AF33708" w14:textId="77777777" w:rsidR="000F4BCD" w:rsidRPr="00701E0A" w:rsidRDefault="000F4BCD" w:rsidP="000F4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C2B93D" w14:textId="77777777" w:rsidR="00AE73F8" w:rsidRPr="002D6562" w:rsidRDefault="003117AF" w:rsidP="0073149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348D5D9" w14:textId="77777777" w:rsidR="00AE73F8" w:rsidRDefault="00AE73F8" w:rsidP="00AE73F8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 вебинара</w:t>
      </w:r>
    </w:p>
    <w:p w14:paraId="385F99AE" w14:textId="4105C42D" w:rsidR="00AE73F8" w:rsidRPr="00456E25" w:rsidRDefault="00AE73F8" w:rsidP="00456E25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налогообложения в 202</w:t>
      </w:r>
      <w:r w:rsidR="00D1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4"/>
        <w:tblpPr w:leftFromText="180" w:rightFromText="180" w:vertAnchor="text" w:horzAnchor="margin" w:tblpY="7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AE73F8" w14:paraId="15F290AA" w14:textId="77777777" w:rsidTr="00456E25">
        <w:tc>
          <w:tcPr>
            <w:tcW w:w="4678" w:type="dxa"/>
            <w:hideMark/>
          </w:tcPr>
          <w:p w14:paraId="7DDDCF14" w14:textId="0730903F" w:rsidR="00456E25" w:rsidRDefault="00456E25" w:rsidP="00456E25">
            <w:pPr>
              <w:tabs>
                <w:tab w:val="left" w:pos="426"/>
              </w:tabs>
              <w:spacing w:before="100" w:beforeAutospacing="1" w:after="100" w:afterAutospacing="1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Лектор 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–  Бурдюк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Олег Алексеевич</w:t>
            </w:r>
          </w:p>
          <w:p w14:paraId="06B20953" w14:textId="329A2224" w:rsidR="00AE73F8" w:rsidRDefault="00AE73F8">
            <w:p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38" w:type="dxa"/>
            <w:hideMark/>
          </w:tcPr>
          <w:p w14:paraId="4C76CF3A" w14:textId="747E156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г.</w:t>
            </w:r>
          </w:p>
          <w:p w14:paraId="0DB5755C" w14:textId="67FC132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10.00 – 13.00</w:t>
            </w:r>
          </w:p>
          <w:p w14:paraId="771C5B96" w14:textId="0563FD61" w:rsidR="00AE73F8" w:rsidRPr="00456E25" w:rsidRDefault="00AE73F8" w:rsidP="00456E25">
            <w:pPr>
              <w:tabs>
                <w:tab w:val="left" w:pos="426"/>
              </w:tabs>
              <w:spacing w:after="0" w:line="240" w:lineRule="auto"/>
              <w:ind w:firstLine="13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C8F9F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Общую часть НК: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взаимозависимых лиц; изменение срока представления информации о движении денежных средств по счетам за границей; ограничение на применение льгот при проведении проверок; изменение порядка представления налоговой декларации по налогу на прибыль; расширение перечня оснований для приостановления операций по счетам в банке; увеличение суммы задолженности перед бюджетом, при которой при ликвидации не проводится проверка; увеличение критериев для признания организации крупным плательщиком; изменение порядка корректировки налоговой базы по налогу на прибыль из-за применения ТЦО; изменение перечня анализируемых сделок; особенности определения диапазона рыночных ставок по займам; особенности выставления ЭСЧФ по анализируемым сделкам; новые права налоговых органов в отношении должников по налогам</w:t>
      </w:r>
    </w:p>
    <w:p w14:paraId="6D29AE7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НДС: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порядка освобождения от НДС (услуги в сфере культуры, предоставление в пользование жилых помещений; факторинг; страхование; права на результаты НТД); изменения в порядке определения налоговой базы при реализации транспортных средств; изменения порядка определения момента фактической реализации по пусконаладочным работам; невозможность отказа от освобождения; особенности применения ставки НДС в размере 0% по транспортно-экспедиционным услугам; уточнение сроков выставление ЭСЧФ по облагаемым возмещаемым расходам; изменения в порядке применения налоговых вычетов при уничтожении имущества</w:t>
      </w:r>
    </w:p>
    <w:p w14:paraId="731757EF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акцизов: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подакцизных товаров (электронные системы курения, системы для потребления табака; безалкогольные энергетические напитки); новые госорганы, рассматривающие вопросы по отнесению товаров к подакцизным</w:t>
      </w:r>
    </w:p>
    <w:p w14:paraId="61954EF4" w14:textId="1543DA6D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прибыль: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новый вариант даты отражения выручки при электронной дистанционной продаже товаров; порядок распределения затрат между филиалами организации; изменения в порядке применения инвестиционного вычета (появление вычета у лесхозов; ограничение вычета по объектам с нормативным сроком службы менее 5 лет; невозможность применения вычета при проверке); особенность включения страховых взносов в ФСЗН во </w:t>
      </w:r>
      <w:proofErr w:type="spellStart"/>
      <w:r w:rsidRPr="00D13DCB">
        <w:rPr>
          <w:color w:val="000000"/>
          <w:sz w:val="28"/>
          <w:szCs w:val="28"/>
        </w:rPr>
        <w:t>внерасходы</w:t>
      </w:r>
      <w:proofErr w:type="spellEnd"/>
      <w:r w:rsidRPr="00D13DCB">
        <w:rPr>
          <w:color w:val="000000"/>
          <w:sz w:val="28"/>
          <w:szCs w:val="28"/>
        </w:rPr>
        <w:t>; освобождение от налога на прибыль санаторно-курортных и оздоровительных организаций; изменение ставки налога для страховых брокеров; особенности зачета налога, уплаченного в иностранном государстве</w:t>
      </w:r>
    </w:p>
    <w:p w14:paraId="3802CC78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lastRenderedPageBreak/>
        <w:t>Изменения в порядке исчисления налога на доходы иностранных организаций: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в перечне операций, признаваемых объектом налогообложения (услуги морского порта, доходы в виде действительной доли в уставном фонде белорусской организации); изменения в порядке определения налоговой базы (по договорам аренды); изменение даты возникновения обязательств в отношении санкций; изменения в порядке применения положений по фактическому владельцу дохода</w:t>
      </w:r>
    </w:p>
    <w:p w14:paraId="5E6AEBA9" w14:textId="671F4689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подоходного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br/>
      </w:r>
      <w:r w:rsidRPr="00D13DCB">
        <w:rPr>
          <w:color w:val="000000"/>
          <w:sz w:val="28"/>
          <w:szCs w:val="28"/>
        </w:rPr>
        <w:t>в объектах налогообложения (сувенирная и памятная продукция; расходы на идеологическую работу и праздники; возмещения по договорам безвозмездного пользования; передача имущественных прав в качестве рекламы; учет при определении объекта имущества, переданного в рамках "бесшовного перехода"; питание при ликвидации чрезвычайных ситуаций); изменения в порядке определения налоговой базы по сверхдоходам; изменения в порядке налогообложения криптовалюты; изменения в порядке налогообложения доходов ИП (уменьшение доходов по имуществу, за которое произведен расчет до прекращения деятельности; порядок определения дохода при прочем выбытии основных средств; повышенный норматив расходов в отношении торговой и транспортной деятельности; нормы расхода электроэнергии для электромобилей; невозможность учета в составе расходов амортизации и имущественного вычета; особенности учета в составе расходов остаточной стоимости основных средств, реализованных в рассрочку; порядок отнесения вводного НДС на затраты); особенности применения освобождения от налога (отмена льготы по компенсации за имущества; уменьшение освобождаемого размера льготы по выходным пособиям; уменьшение в 2 раза льготы по подаркам; новая льгота по подаркам из-за границы; освобождение доходов за выявление коррупции; изменения порядка применения освобождения по доходам от облигаций; отмена льготы по имуществу, амортизация которого учитывалась в составе расходов при осуществлении предпринимательской деятельности); особенности применения налоговых вычетов (расширение перечня иждивенцев; невозможность применения имущественного вычета, если амортизация учитывалась в составе расходов при осуществлении предпринимательской деятельности); изменение даты фактического получения доходов; изменения в ставках налога (особенности применения фиксированной ставки налога; увеличение ставки по выигрышам; отмена ставки 6% по дивидендам; новая ставка налога по "сверхдоходам" 30% и особенности исчисления налога по ставкам 25% и 30% по доходам иностранцев); налогообложение доходов от доверительного управления; зачет налога на прибыль при налогообложении дивидендов</w:t>
      </w:r>
    </w:p>
    <w:p w14:paraId="46DFAAF4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недвижимость: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уплата налога при сдаче в аренду лесхозам; особенности сдачи в аренду стен, крыш и сооружений; особенности применения льгот (отмена льготы по объектам организаций образования и здравоохранения; отмена льготы для физлиц по историко-культурным ценностям); особенности определения налоговой базы (налогообложение в течение года увеличения стоимости объектов; </w:t>
      </w:r>
      <w:r w:rsidRPr="00D13DCB">
        <w:rPr>
          <w:color w:val="000000"/>
          <w:sz w:val="28"/>
          <w:szCs w:val="28"/>
        </w:rPr>
        <w:lastRenderedPageBreak/>
        <w:t>особенности налогообложения иностранных организаций); отмена пониженных ставок для простых товариществ; особенности уплаты налога один раз в год</w:t>
      </w:r>
      <w:r w:rsidRPr="00D13DCB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0DAE367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земельного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сдачи в аренду стен, крыш и сооружений; исключения в понятии "незарегистрированные земельные участки"; особенности применения льгот (отмена льготы по объектам организаций образования и здравоохранения; особенности уплаты налога организациями, осуществляющими сбор, заготовку, сортировку отходов; отмена льготы для физлиц по историко-культурным ценностям); определение функционального назначения земельного участка; определение организациями, в том числе бюджетными и резидентами СЭЗ, площади земельного участка, сданного в аренду; новый порядок уведомления об отсутствии объектов налогообложения</w:t>
      </w:r>
    </w:p>
    <w:p w14:paraId="6F6B8B27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экологического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определения налоговой базы при нарушении порядка ведения учета отходов производства; применение льготы по капвложениями в случае модернизации объектов</w:t>
      </w:r>
    </w:p>
    <w:p w14:paraId="0BC64BE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при УСН: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увеличение числа случаев уплаты налога на прибыль при применении УСН; новые критерии для применения и перехода на УСН; новые обязательные платежи, не включаемые в валовую выручку; получение возмещений от ссудополучателей членов товариществ собственников; влияние ликвидации должника на валовую выручку; особенности определения валовой выручки при электронной дистанционной продаже товаров; увеличение выручки для неведения бухгалтерского учета</w:t>
      </w:r>
    </w:p>
    <w:p w14:paraId="7A0430F1" w14:textId="604DDE8C" w:rsidR="003117AF" w:rsidRPr="00D13DCB" w:rsidRDefault="003117AF" w:rsidP="00D1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3117AF" w:rsidRPr="00D13DCB" w:rsidSect="00F6752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DEA4" w14:textId="77777777" w:rsidR="001C567D" w:rsidRDefault="001C567D" w:rsidP="001E2EAD">
      <w:pPr>
        <w:spacing w:after="0" w:line="240" w:lineRule="auto"/>
      </w:pPr>
      <w:r>
        <w:separator/>
      </w:r>
    </w:p>
  </w:endnote>
  <w:endnote w:type="continuationSeparator" w:id="0">
    <w:p w14:paraId="14369B44" w14:textId="77777777" w:rsidR="001C567D" w:rsidRDefault="001C567D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AE70" w14:textId="77777777" w:rsidR="001C567D" w:rsidRDefault="001C567D" w:rsidP="001E2EAD">
      <w:pPr>
        <w:spacing w:after="0" w:line="240" w:lineRule="auto"/>
      </w:pPr>
      <w:r>
        <w:separator/>
      </w:r>
    </w:p>
  </w:footnote>
  <w:footnote w:type="continuationSeparator" w:id="0">
    <w:p w14:paraId="74BC0E8A" w14:textId="77777777" w:rsidR="001C567D" w:rsidRDefault="001C567D" w:rsidP="001E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32B7"/>
    <w:multiLevelType w:val="hybridMultilevel"/>
    <w:tmpl w:val="28B62752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34ED36CF"/>
    <w:multiLevelType w:val="multilevel"/>
    <w:tmpl w:val="B9B026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57E12FE"/>
    <w:multiLevelType w:val="hybridMultilevel"/>
    <w:tmpl w:val="AF92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1144"/>
    <w:multiLevelType w:val="multilevel"/>
    <w:tmpl w:val="F8C2F6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7597B"/>
    <w:multiLevelType w:val="hybridMultilevel"/>
    <w:tmpl w:val="FE128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148DF"/>
    <w:rsid w:val="00015269"/>
    <w:rsid w:val="00045E74"/>
    <w:rsid w:val="00070760"/>
    <w:rsid w:val="00072B95"/>
    <w:rsid w:val="000753B3"/>
    <w:rsid w:val="00096E2D"/>
    <w:rsid w:val="000C62CF"/>
    <w:rsid w:val="000C7491"/>
    <w:rsid w:val="000E02EE"/>
    <w:rsid w:val="000E4283"/>
    <w:rsid w:val="000E5307"/>
    <w:rsid w:val="000F1DE9"/>
    <w:rsid w:val="000F4BCD"/>
    <w:rsid w:val="00104673"/>
    <w:rsid w:val="001047BB"/>
    <w:rsid w:val="00106293"/>
    <w:rsid w:val="00107033"/>
    <w:rsid w:val="00122424"/>
    <w:rsid w:val="00126F25"/>
    <w:rsid w:val="00131F05"/>
    <w:rsid w:val="001475A0"/>
    <w:rsid w:val="00150241"/>
    <w:rsid w:val="001613E5"/>
    <w:rsid w:val="00170764"/>
    <w:rsid w:val="00175DFE"/>
    <w:rsid w:val="00196B9E"/>
    <w:rsid w:val="001A03EF"/>
    <w:rsid w:val="001A0DC4"/>
    <w:rsid w:val="001A4B27"/>
    <w:rsid w:val="001A5D76"/>
    <w:rsid w:val="001A6452"/>
    <w:rsid w:val="001C1E1C"/>
    <w:rsid w:val="001C3877"/>
    <w:rsid w:val="001C567D"/>
    <w:rsid w:val="001C5813"/>
    <w:rsid w:val="001E2EAD"/>
    <w:rsid w:val="001E2FD5"/>
    <w:rsid w:val="001F571E"/>
    <w:rsid w:val="001F6146"/>
    <w:rsid w:val="002132C5"/>
    <w:rsid w:val="00214325"/>
    <w:rsid w:val="00225063"/>
    <w:rsid w:val="00227A09"/>
    <w:rsid w:val="0025472F"/>
    <w:rsid w:val="00264D80"/>
    <w:rsid w:val="002703DF"/>
    <w:rsid w:val="00271F30"/>
    <w:rsid w:val="002812C5"/>
    <w:rsid w:val="002A781D"/>
    <w:rsid w:val="002C7661"/>
    <w:rsid w:val="002D6562"/>
    <w:rsid w:val="002E51D5"/>
    <w:rsid w:val="002F09AD"/>
    <w:rsid w:val="0030526C"/>
    <w:rsid w:val="00310109"/>
    <w:rsid w:val="003117AF"/>
    <w:rsid w:val="003325B0"/>
    <w:rsid w:val="0034112F"/>
    <w:rsid w:val="003736D7"/>
    <w:rsid w:val="003819C9"/>
    <w:rsid w:val="00384E79"/>
    <w:rsid w:val="00385044"/>
    <w:rsid w:val="00387700"/>
    <w:rsid w:val="003A018B"/>
    <w:rsid w:val="003A5C64"/>
    <w:rsid w:val="003A749C"/>
    <w:rsid w:val="003D22D2"/>
    <w:rsid w:val="003E4C3D"/>
    <w:rsid w:val="003F74DA"/>
    <w:rsid w:val="00402456"/>
    <w:rsid w:val="00404993"/>
    <w:rsid w:val="00412ECB"/>
    <w:rsid w:val="004255A7"/>
    <w:rsid w:val="004365E8"/>
    <w:rsid w:val="004456CA"/>
    <w:rsid w:val="00446240"/>
    <w:rsid w:val="00447B0D"/>
    <w:rsid w:val="00454A50"/>
    <w:rsid w:val="00455DA0"/>
    <w:rsid w:val="00456E25"/>
    <w:rsid w:val="00457C48"/>
    <w:rsid w:val="0046076C"/>
    <w:rsid w:val="00466B11"/>
    <w:rsid w:val="00467D12"/>
    <w:rsid w:val="004717F9"/>
    <w:rsid w:val="00482339"/>
    <w:rsid w:val="00484227"/>
    <w:rsid w:val="00484972"/>
    <w:rsid w:val="004869C0"/>
    <w:rsid w:val="004D039E"/>
    <w:rsid w:val="004D3451"/>
    <w:rsid w:val="00500FC3"/>
    <w:rsid w:val="0051651A"/>
    <w:rsid w:val="00520A5F"/>
    <w:rsid w:val="005277C1"/>
    <w:rsid w:val="0055354C"/>
    <w:rsid w:val="0055727E"/>
    <w:rsid w:val="005574F2"/>
    <w:rsid w:val="00565923"/>
    <w:rsid w:val="0058131B"/>
    <w:rsid w:val="0059238F"/>
    <w:rsid w:val="005A5C3E"/>
    <w:rsid w:val="005B29EB"/>
    <w:rsid w:val="005D5E48"/>
    <w:rsid w:val="005E27B3"/>
    <w:rsid w:val="005F0C9B"/>
    <w:rsid w:val="00616BFB"/>
    <w:rsid w:val="0062248E"/>
    <w:rsid w:val="006442A7"/>
    <w:rsid w:val="0067266A"/>
    <w:rsid w:val="00696A4E"/>
    <w:rsid w:val="006A63B9"/>
    <w:rsid w:val="006B3E0E"/>
    <w:rsid w:val="006C019C"/>
    <w:rsid w:val="006D0824"/>
    <w:rsid w:val="006D3387"/>
    <w:rsid w:val="006F6E82"/>
    <w:rsid w:val="006F7932"/>
    <w:rsid w:val="00701E0A"/>
    <w:rsid w:val="00716CDE"/>
    <w:rsid w:val="00731494"/>
    <w:rsid w:val="00733194"/>
    <w:rsid w:val="0073432D"/>
    <w:rsid w:val="00736F1B"/>
    <w:rsid w:val="00741C25"/>
    <w:rsid w:val="007471A8"/>
    <w:rsid w:val="00751E91"/>
    <w:rsid w:val="00755228"/>
    <w:rsid w:val="007574E8"/>
    <w:rsid w:val="007722D8"/>
    <w:rsid w:val="007A652D"/>
    <w:rsid w:val="007C5CF6"/>
    <w:rsid w:val="007D0B99"/>
    <w:rsid w:val="007D378A"/>
    <w:rsid w:val="007E0533"/>
    <w:rsid w:val="007E0D93"/>
    <w:rsid w:val="007E4E02"/>
    <w:rsid w:val="007F65F4"/>
    <w:rsid w:val="007F6CC6"/>
    <w:rsid w:val="00827613"/>
    <w:rsid w:val="00834CF4"/>
    <w:rsid w:val="00840ED7"/>
    <w:rsid w:val="008538A6"/>
    <w:rsid w:val="00853F9B"/>
    <w:rsid w:val="00857D59"/>
    <w:rsid w:val="00861663"/>
    <w:rsid w:val="0087221C"/>
    <w:rsid w:val="00894643"/>
    <w:rsid w:val="008B7BC7"/>
    <w:rsid w:val="008C23BD"/>
    <w:rsid w:val="008E392A"/>
    <w:rsid w:val="00906122"/>
    <w:rsid w:val="00913B94"/>
    <w:rsid w:val="0093348B"/>
    <w:rsid w:val="00933AB2"/>
    <w:rsid w:val="0093405E"/>
    <w:rsid w:val="00940527"/>
    <w:rsid w:val="00951919"/>
    <w:rsid w:val="0095706B"/>
    <w:rsid w:val="009861B6"/>
    <w:rsid w:val="00986928"/>
    <w:rsid w:val="00986DCC"/>
    <w:rsid w:val="009E5828"/>
    <w:rsid w:val="009E6B6A"/>
    <w:rsid w:val="009F3224"/>
    <w:rsid w:val="00A02CCE"/>
    <w:rsid w:val="00A0345E"/>
    <w:rsid w:val="00A04F15"/>
    <w:rsid w:val="00A16509"/>
    <w:rsid w:val="00A2480C"/>
    <w:rsid w:val="00A50AD2"/>
    <w:rsid w:val="00A62CCC"/>
    <w:rsid w:val="00A828C5"/>
    <w:rsid w:val="00A844FA"/>
    <w:rsid w:val="00A851EE"/>
    <w:rsid w:val="00A86E39"/>
    <w:rsid w:val="00AB331C"/>
    <w:rsid w:val="00AC4551"/>
    <w:rsid w:val="00AC5C4A"/>
    <w:rsid w:val="00AD5184"/>
    <w:rsid w:val="00AE2C54"/>
    <w:rsid w:val="00AE73F8"/>
    <w:rsid w:val="00B11EDA"/>
    <w:rsid w:val="00B14246"/>
    <w:rsid w:val="00B158CB"/>
    <w:rsid w:val="00B21D46"/>
    <w:rsid w:val="00B27A1F"/>
    <w:rsid w:val="00B37ED0"/>
    <w:rsid w:val="00B54FB3"/>
    <w:rsid w:val="00B660B0"/>
    <w:rsid w:val="00B7332F"/>
    <w:rsid w:val="00B90320"/>
    <w:rsid w:val="00B90D28"/>
    <w:rsid w:val="00B91AC6"/>
    <w:rsid w:val="00B94D5D"/>
    <w:rsid w:val="00BA24BF"/>
    <w:rsid w:val="00BB19D7"/>
    <w:rsid w:val="00BB3B1A"/>
    <w:rsid w:val="00BB788C"/>
    <w:rsid w:val="00BC72D6"/>
    <w:rsid w:val="00BE6BB1"/>
    <w:rsid w:val="00BF689C"/>
    <w:rsid w:val="00C104C4"/>
    <w:rsid w:val="00C166AF"/>
    <w:rsid w:val="00C21E7E"/>
    <w:rsid w:val="00C32C94"/>
    <w:rsid w:val="00C358C6"/>
    <w:rsid w:val="00C616C4"/>
    <w:rsid w:val="00C627ED"/>
    <w:rsid w:val="00C6716C"/>
    <w:rsid w:val="00C72488"/>
    <w:rsid w:val="00C926ED"/>
    <w:rsid w:val="00CB240D"/>
    <w:rsid w:val="00CB2592"/>
    <w:rsid w:val="00CC100C"/>
    <w:rsid w:val="00CD3BFF"/>
    <w:rsid w:val="00CD4A12"/>
    <w:rsid w:val="00CE62EC"/>
    <w:rsid w:val="00CF01CA"/>
    <w:rsid w:val="00D13DCB"/>
    <w:rsid w:val="00D23A16"/>
    <w:rsid w:val="00D43629"/>
    <w:rsid w:val="00D43761"/>
    <w:rsid w:val="00D47501"/>
    <w:rsid w:val="00D6510B"/>
    <w:rsid w:val="00D936FB"/>
    <w:rsid w:val="00DA066C"/>
    <w:rsid w:val="00DA6204"/>
    <w:rsid w:val="00DA63A6"/>
    <w:rsid w:val="00DB09B0"/>
    <w:rsid w:val="00DB5079"/>
    <w:rsid w:val="00DC472C"/>
    <w:rsid w:val="00DD0781"/>
    <w:rsid w:val="00DD7BF5"/>
    <w:rsid w:val="00DE28AD"/>
    <w:rsid w:val="00DF0BDA"/>
    <w:rsid w:val="00E043CA"/>
    <w:rsid w:val="00E242C6"/>
    <w:rsid w:val="00E32910"/>
    <w:rsid w:val="00E368AE"/>
    <w:rsid w:val="00E401CB"/>
    <w:rsid w:val="00E5120C"/>
    <w:rsid w:val="00EA27D0"/>
    <w:rsid w:val="00EB397C"/>
    <w:rsid w:val="00EC367A"/>
    <w:rsid w:val="00ED1AD3"/>
    <w:rsid w:val="00ED60CB"/>
    <w:rsid w:val="00EE2A41"/>
    <w:rsid w:val="00EE34DF"/>
    <w:rsid w:val="00EF162C"/>
    <w:rsid w:val="00F06557"/>
    <w:rsid w:val="00F073E6"/>
    <w:rsid w:val="00F10C3B"/>
    <w:rsid w:val="00F27B53"/>
    <w:rsid w:val="00F41B73"/>
    <w:rsid w:val="00F529BA"/>
    <w:rsid w:val="00F61449"/>
    <w:rsid w:val="00F6752B"/>
    <w:rsid w:val="00F76BBF"/>
    <w:rsid w:val="00FD78C3"/>
    <w:rsid w:val="00FF1BB0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8FE2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1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1F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31F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Body">
    <w:name w:val="Body"/>
    <w:rsid w:val="00131F0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msonormalmailrucssattributepostfix">
    <w:name w:val="msonormal_mailru_css_attribute_postfix"/>
    <w:basedOn w:val="a"/>
    <w:rsid w:val="00264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51EE"/>
    <w:rPr>
      <w:b/>
      <w:bCs/>
    </w:rPr>
  </w:style>
  <w:style w:type="character" w:styleId="ae">
    <w:name w:val="Emphasis"/>
    <w:basedOn w:val="a0"/>
    <w:uiPriority w:val="20"/>
    <w:qFormat/>
    <w:rsid w:val="00A851EE"/>
    <w:rPr>
      <w:i/>
      <w:iCs/>
    </w:rPr>
  </w:style>
  <w:style w:type="character" w:customStyle="1" w:styleId="b-text">
    <w:name w:val="b-text"/>
    <w:basedOn w:val="a0"/>
    <w:rsid w:val="00733194"/>
  </w:style>
  <w:style w:type="paragraph" w:styleId="af">
    <w:name w:val="Normal (Web)"/>
    <w:basedOn w:val="a"/>
    <w:uiPriority w:val="99"/>
    <w:semiHidden/>
    <w:unhideWhenUsed/>
    <w:rsid w:val="007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7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701E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1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p.by/ru/osobennos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56C9-6ECF-4796-9442-502192E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Езовит Елена Геннадьевна</cp:lastModifiedBy>
  <cp:revision>2</cp:revision>
  <cp:lastPrinted>2020-06-22T07:40:00Z</cp:lastPrinted>
  <dcterms:created xsi:type="dcterms:W3CDTF">2026-03-25T08:30:00Z</dcterms:created>
  <dcterms:modified xsi:type="dcterms:W3CDTF">2026-03-25T08:30:00Z</dcterms:modified>
</cp:coreProperties>
</file>