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B7" w:rsidRDefault="00FC71B7">
      <w:pPr>
        <w:pStyle w:val="newncpi0"/>
        <w:jc w:val="center"/>
      </w:pPr>
      <w:bookmarkStart w:id="0" w:name="_GoBack"/>
      <w:bookmarkEnd w:id="0"/>
      <w:r>
        <w:rPr>
          <w:rStyle w:val="name"/>
        </w:rPr>
        <w:t>ПОСТАНОВЛЕНИЕ </w:t>
      </w:r>
      <w:r>
        <w:rPr>
          <w:rStyle w:val="promulgator"/>
        </w:rPr>
        <w:t>МИНИСТЕРСТВА СЕЛЬСКОГО ХОЗЯЙСТВА И ПРОДОВОЛЬСТВИЯ РЕСПУБЛИКИ БЕЛАРУСЬ</w:t>
      </w:r>
    </w:p>
    <w:p w:rsidR="00FC71B7" w:rsidRDefault="00FC71B7">
      <w:pPr>
        <w:pStyle w:val="newncpi"/>
        <w:ind w:firstLine="0"/>
        <w:jc w:val="center"/>
      </w:pPr>
      <w:r>
        <w:rPr>
          <w:rStyle w:val="datepr"/>
        </w:rPr>
        <w:t>19 июня 2019 г.</w:t>
      </w:r>
      <w:r>
        <w:rPr>
          <w:rStyle w:val="number"/>
        </w:rPr>
        <w:t xml:space="preserve"> № 36</w:t>
      </w:r>
    </w:p>
    <w:p w:rsidR="00FC71B7" w:rsidRDefault="00FC71B7">
      <w:pPr>
        <w:pStyle w:val="titlencpi"/>
      </w:pPr>
      <w:r>
        <w:t>Об оплате труда работников бюджетных организаций сферы деятельности Министерства сельского хозяйства и продовольствия</w:t>
      </w:r>
    </w:p>
    <w:p w:rsidR="00FC71B7" w:rsidRDefault="00FC71B7">
      <w:pPr>
        <w:pStyle w:val="changei"/>
      </w:pPr>
      <w:r>
        <w:t>Изменения и дополнения:</w:t>
      </w:r>
    </w:p>
    <w:p w:rsidR="00FC71B7" w:rsidRDefault="00FC71B7">
      <w:pPr>
        <w:pStyle w:val="changeadd"/>
      </w:pPr>
      <w:r>
        <w:t>Постановление Министерства сельского хозяйства и продовольствия Республики Беларусь от 20 декабря 2019 г. № 60 (зарегистрировано в Национальном реестре - № 8/34957 от 30.12.2019 г.) &lt;W21934957&gt;;</w:t>
      </w:r>
    </w:p>
    <w:p w:rsidR="00FC71B7" w:rsidRDefault="00FC71B7">
      <w:pPr>
        <w:pStyle w:val="changeadd"/>
      </w:pPr>
      <w:r>
        <w:t>Постановление Министерства сельского хозяйства и продовольствия Республики Беларусь от 18 января 2021 г. № 2 (зарегистрировано в Национальном реестре - № 8/36318 от 05.02.2021 г.) &lt;W22136318&gt; - внесены изменения и дополнения, вступившие в силу 7 февраля 2021 г., за исключением изменений и дополнений, исключенных постановлением Министерства сельского хозяйства и продовольствия Республики Беларусь от 9 июня 2021 г. № 36;</w:t>
      </w:r>
    </w:p>
    <w:p w:rsidR="00FC71B7" w:rsidRDefault="00FC71B7">
      <w:pPr>
        <w:pStyle w:val="changeadd"/>
      </w:pPr>
      <w:r>
        <w:t>Постановление Министерства сельского хозяйства и продовольствия Республики Беларусь от 9 июня 2021 г. № 36 (зарегистрировано в Национальном реестре - № 8/36849 от 25.06.2021 г.) &lt;W22136849&gt;;</w:t>
      </w:r>
    </w:p>
    <w:p w:rsidR="00FC71B7" w:rsidRDefault="00FC71B7">
      <w:pPr>
        <w:pStyle w:val="changeadd"/>
      </w:pPr>
      <w:r>
        <w:t>Постановление Министерства сельского хозяйства и продовольствия Республики Беларусь от 28 марта 2023 г. № 41 (зарегистрировано в Национальном реестре - № 8/39807 от 10.04.2023 г.) &lt;W22339807&gt;</w:t>
      </w:r>
    </w:p>
    <w:p w:rsidR="00FC71B7" w:rsidRDefault="00FC71B7">
      <w:pPr>
        <w:pStyle w:val="newncpi"/>
      </w:pPr>
      <w:r>
        <w:t> </w:t>
      </w:r>
    </w:p>
    <w:p w:rsidR="00FC71B7" w:rsidRDefault="00FC71B7">
      <w:pPr>
        <w:pStyle w:val="preamble"/>
      </w:pPr>
      <w:r>
        <w:t>На основании абзаца шестого пункта 8 и пункта 9 Указа Президента Республики Беларусь от 18 января 2019 г. № 27 «Об оплате труда работников бюджетных организаций» и подпунктов 5.7, 5.9, 5.10 пункта 5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 Министерство сельского хозяйства и продовольствия Республики Беларусь ПОСТАНОВЛЯЕТ:</w:t>
      </w:r>
    </w:p>
    <w:p w:rsidR="00FC71B7" w:rsidRDefault="00FC71B7">
      <w:pPr>
        <w:pStyle w:val="point"/>
      </w:pPr>
      <w:r>
        <w:t>1. Установить:</w:t>
      </w:r>
    </w:p>
    <w:p w:rsidR="00FC71B7" w:rsidRDefault="00FC71B7">
      <w:pPr>
        <w:pStyle w:val="underpoint"/>
      </w:pPr>
      <w:r>
        <w:t>1.1. по должностям служащих ветеринарных работников бюджетных организаций независимо от их ведомственной подчиненности:</w:t>
      </w:r>
    </w:p>
    <w:p w:rsidR="00FC71B7" w:rsidRDefault="00FC71B7">
      <w:pPr>
        <w:pStyle w:val="newncpi"/>
      </w:pPr>
      <w:r>
        <w:t>тарифные разряды согласно приложению 1;</w:t>
      </w:r>
    </w:p>
    <w:p w:rsidR="00FC71B7" w:rsidRDefault="00FC71B7">
      <w:pPr>
        <w:pStyle w:val="newncpi"/>
      </w:pPr>
      <w:r>
        <w:t>стимулирующую выплату – надбавку за специфику ветеринарной деятельности – в размере 15 процентов оклада;</w:t>
      </w:r>
    </w:p>
    <w:p w:rsidR="00FC71B7" w:rsidRDefault="00FC71B7">
      <w:pPr>
        <w:pStyle w:val="underpoint"/>
      </w:pPr>
      <w:r>
        <w:t>1.2. перечень стимулирующих и компенсирующих выплат работникам бюджетных организаций, подчиненных Министерству сельского хозяйства и продовольствия, и бюджетных организаций, подчиненных местным исполнительным и распорядительным органам, относящихся к сфере ветеринарной деятельности (далее – бюджетные организации), согласно приложению 2.</w:t>
      </w:r>
    </w:p>
    <w:p w:rsidR="00FC71B7" w:rsidRDefault="00FC71B7">
      <w:pPr>
        <w:pStyle w:val="point"/>
      </w:pPr>
      <w:r>
        <w:t>2. Утвердить Инструкцию о размерах и порядке осуществления стимулирующих и компенсирующих выплат работникам бюджетных организаций (прилагается).</w:t>
      </w:r>
    </w:p>
    <w:p w:rsidR="00FC71B7" w:rsidRDefault="00FC71B7">
      <w:pPr>
        <w:pStyle w:val="point"/>
      </w:pPr>
      <w:r>
        <w:t>3. Признать утратившим силу постановление Министерства сельского хозяйства и продовольствия Республики Беларусь от 15 марта 2016 г. № 10 «Об утверждении Инструкции об особенностях исчисления стажа работы в отрасли работников бюджетных организаций государственной ветеринарной службы, а также государственных учреждений, подчиненных Министерству сельского хозяйства и продовольствия Республики Беларусь».</w:t>
      </w:r>
    </w:p>
    <w:p w:rsidR="00FC71B7" w:rsidRDefault="00FC71B7">
      <w:pPr>
        <w:pStyle w:val="point"/>
      </w:pPr>
      <w:r>
        <w:t>4. Настоящее постановление вступает в силу с 1 января 2020 г.</w:t>
      </w:r>
    </w:p>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C71B7">
        <w:tc>
          <w:tcPr>
            <w:tcW w:w="2500" w:type="pct"/>
            <w:tcMar>
              <w:top w:w="0" w:type="dxa"/>
              <w:left w:w="6" w:type="dxa"/>
              <w:bottom w:w="0" w:type="dxa"/>
              <w:right w:w="6" w:type="dxa"/>
            </w:tcMar>
            <w:vAlign w:val="bottom"/>
            <w:hideMark/>
          </w:tcPr>
          <w:p w:rsidR="00FC71B7" w:rsidRDefault="00FC71B7">
            <w:pPr>
              <w:pStyle w:val="newncpi0"/>
              <w:jc w:val="left"/>
            </w:pPr>
            <w:r>
              <w:rPr>
                <w:rStyle w:val="post"/>
              </w:rPr>
              <w:t>Министр</w:t>
            </w:r>
          </w:p>
        </w:tc>
        <w:tc>
          <w:tcPr>
            <w:tcW w:w="2500" w:type="pct"/>
            <w:tcMar>
              <w:top w:w="0" w:type="dxa"/>
              <w:left w:w="6" w:type="dxa"/>
              <w:bottom w:w="0" w:type="dxa"/>
              <w:right w:w="6" w:type="dxa"/>
            </w:tcMar>
            <w:vAlign w:val="bottom"/>
            <w:hideMark/>
          </w:tcPr>
          <w:p w:rsidR="00FC71B7" w:rsidRDefault="00FC71B7">
            <w:pPr>
              <w:pStyle w:val="newncpi0"/>
              <w:jc w:val="right"/>
            </w:pPr>
            <w:r>
              <w:rPr>
                <w:rStyle w:val="pers"/>
              </w:rPr>
              <w:t>А.Н.Хотько</w:t>
            </w:r>
          </w:p>
        </w:tc>
      </w:tr>
    </w:tbl>
    <w:p w:rsidR="00FC71B7" w:rsidRDefault="00FC71B7">
      <w:pPr>
        <w:pStyle w:val="newncpi"/>
      </w:pPr>
      <w:r>
        <w:t> </w:t>
      </w:r>
    </w:p>
    <w:p w:rsidR="00FC71B7" w:rsidRDefault="00FC71B7">
      <w:pPr>
        <w:pStyle w:val="agree"/>
      </w:pPr>
      <w:r>
        <w:t>СОГЛАСОВАНО</w:t>
      </w:r>
    </w:p>
    <w:p w:rsidR="00FC71B7" w:rsidRDefault="00FC71B7">
      <w:pPr>
        <w:pStyle w:val="agree"/>
      </w:pPr>
      <w:r>
        <w:t>Министерство финансов</w:t>
      </w:r>
      <w:r>
        <w:br/>
        <w:t>Республики Беларусь</w:t>
      </w:r>
    </w:p>
    <w:p w:rsidR="00FC71B7" w:rsidRDefault="00FC71B7">
      <w:pPr>
        <w:pStyle w:val="agree"/>
        <w:spacing w:before="120"/>
      </w:pPr>
      <w:r>
        <w:t>Министерство труда</w:t>
      </w:r>
      <w:r>
        <w:br/>
        <w:t>и социальной защиты</w:t>
      </w:r>
      <w:r>
        <w:br/>
        <w:t>Республики Беларусь</w:t>
      </w:r>
    </w:p>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6496"/>
        <w:gridCol w:w="2861"/>
      </w:tblGrid>
      <w:tr w:rsidR="00FC71B7">
        <w:tc>
          <w:tcPr>
            <w:tcW w:w="3471" w:type="pct"/>
            <w:tcMar>
              <w:top w:w="0" w:type="dxa"/>
              <w:left w:w="6" w:type="dxa"/>
              <w:bottom w:w="0" w:type="dxa"/>
              <w:right w:w="6" w:type="dxa"/>
            </w:tcMar>
            <w:hideMark/>
          </w:tcPr>
          <w:p w:rsidR="00FC71B7" w:rsidRDefault="00FC71B7">
            <w:pPr>
              <w:pStyle w:val="newncpi"/>
              <w:ind w:firstLine="0"/>
            </w:pPr>
            <w:r>
              <w:t> </w:t>
            </w:r>
          </w:p>
        </w:tc>
        <w:tc>
          <w:tcPr>
            <w:tcW w:w="1529" w:type="pct"/>
            <w:tcMar>
              <w:top w:w="0" w:type="dxa"/>
              <w:left w:w="6" w:type="dxa"/>
              <w:bottom w:w="0" w:type="dxa"/>
              <w:right w:w="6" w:type="dxa"/>
            </w:tcMar>
            <w:hideMark/>
          </w:tcPr>
          <w:p w:rsidR="00FC71B7" w:rsidRDefault="00FC71B7">
            <w:pPr>
              <w:pStyle w:val="append1"/>
            </w:pPr>
            <w:r>
              <w:t>Приложение 1</w:t>
            </w:r>
          </w:p>
          <w:p w:rsidR="00FC71B7" w:rsidRDefault="00FC71B7">
            <w:pPr>
              <w:pStyle w:val="append"/>
            </w:pPr>
            <w:r>
              <w:t xml:space="preserve">к постановлению </w:t>
            </w:r>
            <w:r>
              <w:br/>
              <w:t xml:space="preserve">Министерства сельского </w:t>
            </w:r>
            <w:r>
              <w:br/>
              <w:t xml:space="preserve">хозяйства и продовольствия </w:t>
            </w:r>
            <w:r>
              <w:br/>
              <w:t>Республики Беларусь</w:t>
            </w:r>
            <w:r>
              <w:br/>
              <w:t>19.06.2019 № 36</w:t>
            </w:r>
          </w:p>
        </w:tc>
      </w:tr>
    </w:tbl>
    <w:p w:rsidR="00FC71B7" w:rsidRDefault="00FC71B7">
      <w:pPr>
        <w:pStyle w:val="titlep"/>
        <w:jc w:val="left"/>
      </w:pPr>
      <w:r>
        <w:t>ТАРИФНЫЕ РАЗРЯДЫ</w:t>
      </w:r>
      <w:r>
        <w:br/>
        <w:t>по должностям служащих ветеринарных работников бюджетных организаций независимо от их ведомственной подчиненности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6797"/>
        <w:gridCol w:w="1699"/>
      </w:tblGrid>
      <w:tr w:rsidR="00FC71B7">
        <w:trPr>
          <w:trHeight w:val="240"/>
        </w:trPr>
        <w:tc>
          <w:tcPr>
            <w:tcW w:w="455" w:type="pct"/>
            <w:tcBorders>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w:t>
            </w:r>
            <w:r>
              <w:br/>
              <w:t>п/п</w:t>
            </w:r>
          </w:p>
        </w:tc>
        <w:tc>
          <w:tcPr>
            <w:tcW w:w="36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Наименование должности служащего (категория должности служащего)</w:t>
            </w:r>
          </w:p>
        </w:tc>
        <w:tc>
          <w:tcPr>
            <w:tcW w:w="909" w:type="pct"/>
            <w:tcBorders>
              <w:left w:val="single" w:sz="4" w:space="0" w:color="auto"/>
              <w:bottom w:val="single" w:sz="4" w:space="0" w:color="auto"/>
            </w:tcBorders>
            <w:tcMar>
              <w:top w:w="0" w:type="dxa"/>
              <w:left w:w="6" w:type="dxa"/>
              <w:bottom w:w="0" w:type="dxa"/>
              <w:right w:w="6" w:type="dxa"/>
            </w:tcMar>
            <w:vAlign w:val="center"/>
            <w:hideMark/>
          </w:tcPr>
          <w:p w:rsidR="00FC71B7" w:rsidRDefault="00FC71B7">
            <w:pPr>
              <w:pStyle w:val="table10"/>
              <w:jc w:val="center"/>
            </w:pPr>
            <w:r>
              <w:t>Тарифный разряд</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Руководители структурных подразделений (руководители)</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 </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1.1</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Главный ветеринарный врач</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13</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1.2</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Заведующий ветеринарным участком; начальник отдела производственно-ветеринарного контроля</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12</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1.3</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Заведующий ветеринарной аптекой</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11</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Специалисты</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 </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2.1</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Ведущий: ветеринарный врач, ветеринарно-санитарный врач, ветеринарный врач-гинеколог, ветеринарный врач-радиолог, ветеринарный врач по трансплантации эмбрионов, провизор ветеринарной медицины</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10</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2.2</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Ветеринарный врач, ветеринарно-санитарный врач, ветеринарный врач-гинеколог, ветеринарный врач-радиолог, ветеринарный врач по трансплантации эмбрионов, провизор ветеринарной медицины:</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 </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имеющие первую квалификационную категорию</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9</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имеющие вторую квалификационную категорию</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8</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не имеющие квалификационной категории</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7</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2.3</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Ветеринарный фельдшер:</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 </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имеющий первую квалификационную категорию</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5</w:t>
            </w:r>
          </w:p>
        </w:tc>
      </w:tr>
      <w:tr w:rsidR="00FC71B7">
        <w:trPr>
          <w:trHeight w:val="24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имеющий вторую квалификационную категорию</w:t>
            </w:r>
          </w:p>
        </w:tc>
        <w:tc>
          <w:tcPr>
            <w:tcW w:w="90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4</w:t>
            </w:r>
          </w:p>
        </w:tc>
      </w:tr>
      <w:tr w:rsidR="00FC71B7">
        <w:trPr>
          <w:trHeight w:val="240"/>
        </w:trPr>
        <w:tc>
          <w:tcPr>
            <w:tcW w:w="455" w:type="pct"/>
            <w:tcBorders>
              <w:top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 </w:t>
            </w:r>
          </w:p>
        </w:tc>
        <w:tc>
          <w:tcPr>
            <w:tcW w:w="3636" w:type="pct"/>
            <w:tcBorders>
              <w:top w:val="single" w:sz="4" w:space="0" w:color="auto"/>
              <w:left w:val="single" w:sz="4" w:space="0" w:color="auto"/>
              <w:right w:val="single" w:sz="4" w:space="0" w:color="auto"/>
            </w:tcBorders>
            <w:tcMar>
              <w:top w:w="0" w:type="dxa"/>
              <w:left w:w="6" w:type="dxa"/>
              <w:bottom w:w="0" w:type="dxa"/>
              <w:right w:w="6" w:type="dxa"/>
            </w:tcMar>
            <w:hideMark/>
          </w:tcPr>
          <w:p w:rsidR="00FC71B7" w:rsidRDefault="00FC71B7">
            <w:pPr>
              <w:pStyle w:val="table10"/>
            </w:pPr>
            <w:r>
              <w:t>не имеющий квалификационной категории</w:t>
            </w:r>
          </w:p>
        </w:tc>
        <w:tc>
          <w:tcPr>
            <w:tcW w:w="909" w:type="pct"/>
            <w:tcBorders>
              <w:top w:val="single" w:sz="4" w:space="0" w:color="auto"/>
              <w:left w:val="single" w:sz="4" w:space="0" w:color="auto"/>
            </w:tcBorders>
            <w:tcMar>
              <w:top w:w="0" w:type="dxa"/>
              <w:left w:w="6" w:type="dxa"/>
              <w:bottom w:w="0" w:type="dxa"/>
              <w:right w:w="6" w:type="dxa"/>
            </w:tcMar>
            <w:hideMark/>
          </w:tcPr>
          <w:p w:rsidR="00FC71B7" w:rsidRDefault="00FC71B7">
            <w:pPr>
              <w:pStyle w:val="table10"/>
              <w:jc w:val="center"/>
            </w:pPr>
            <w:r>
              <w:t>3</w:t>
            </w:r>
          </w:p>
        </w:tc>
      </w:tr>
    </w:tbl>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6496"/>
        <w:gridCol w:w="2861"/>
      </w:tblGrid>
      <w:tr w:rsidR="00FC71B7">
        <w:tc>
          <w:tcPr>
            <w:tcW w:w="3471" w:type="pct"/>
            <w:tcMar>
              <w:top w:w="0" w:type="dxa"/>
              <w:left w:w="6" w:type="dxa"/>
              <w:bottom w:w="0" w:type="dxa"/>
              <w:right w:w="6" w:type="dxa"/>
            </w:tcMar>
            <w:hideMark/>
          </w:tcPr>
          <w:p w:rsidR="00FC71B7" w:rsidRDefault="00FC71B7">
            <w:pPr>
              <w:pStyle w:val="newncpi"/>
              <w:ind w:firstLine="0"/>
            </w:pPr>
            <w:r>
              <w:t> </w:t>
            </w:r>
          </w:p>
        </w:tc>
        <w:tc>
          <w:tcPr>
            <w:tcW w:w="1529" w:type="pct"/>
            <w:tcMar>
              <w:top w:w="0" w:type="dxa"/>
              <w:left w:w="6" w:type="dxa"/>
              <w:bottom w:w="0" w:type="dxa"/>
              <w:right w:w="6" w:type="dxa"/>
            </w:tcMar>
            <w:hideMark/>
          </w:tcPr>
          <w:p w:rsidR="00FC71B7" w:rsidRDefault="00FC71B7">
            <w:pPr>
              <w:pStyle w:val="append1"/>
            </w:pPr>
            <w:r>
              <w:t>Приложение 2</w:t>
            </w:r>
          </w:p>
          <w:p w:rsidR="00FC71B7" w:rsidRDefault="00FC71B7">
            <w:pPr>
              <w:pStyle w:val="append"/>
            </w:pPr>
            <w:r>
              <w:t xml:space="preserve">к постановлению </w:t>
            </w:r>
            <w:r>
              <w:br/>
              <w:t xml:space="preserve">Министерства сельского </w:t>
            </w:r>
            <w:r>
              <w:br/>
              <w:t xml:space="preserve">хозяйства и продовольствия </w:t>
            </w:r>
            <w:r>
              <w:br/>
              <w:t>Республики Беларусь</w:t>
            </w:r>
            <w:r>
              <w:br/>
              <w:t>19.06.2019 № 36</w:t>
            </w:r>
          </w:p>
        </w:tc>
      </w:tr>
    </w:tbl>
    <w:p w:rsidR="00FC71B7" w:rsidRDefault="00FC71B7">
      <w:pPr>
        <w:pStyle w:val="titlep"/>
        <w:jc w:val="left"/>
      </w:pPr>
      <w:r>
        <w:t>ПЕРЕЧЕНЬ</w:t>
      </w:r>
      <w:r>
        <w:br/>
        <w:t>стимулирующих и компенсирующих выплат работникам бюджетных организаций</w:t>
      </w:r>
    </w:p>
    <w:p w:rsidR="00FC71B7" w:rsidRDefault="00FC71B7">
      <w:pPr>
        <w:pStyle w:val="point"/>
      </w:pPr>
      <w:r>
        <w:t>1. Стимулирующие выплаты – надбавки:</w:t>
      </w:r>
    </w:p>
    <w:p w:rsidR="00FC71B7" w:rsidRDefault="00FC71B7">
      <w:pPr>
        <w:pStyle w:val="newncpi"/>
      </w:pPr>
      <w:r>
        <w:t>за стаж работы в отрасли;</w:t>
      </w:r>
    </w:p>
    <w:p w:rsidR="00FC71B7" w:rsidRDefault="00FC71B7">
      <w:pPr>
        <w:pStyle w:val="newncpi"/>
      </w:pPr>
      <w:r>
        <w:t>за сложность и напряженность;</w:t>
      </w:r>
    </w:p>
    <w:p w:rsidR="00FC71B7" w:rsidRDefault="00FC71B7">
      <w:pPr>
        <w:pStyle w:val="newncpi"/>
      </w:pPr>
      <w:r>
        <w:t>за специфику деятельности организации;</w:t>
      </w:r>
    </w:p>
    <w:p w:rsidR="00FC71B7" w:rsidRDefault="00FC71B7">
      <w:pPr>
        <w:pStyle w:val="newncpi"/>
      </w:pPr>
      <w:r>
        <w:t>за характер труда;</w:t>
      </w:r>
    </w:p>
    <w:p w:rsidR="00FC71B7" w:rsidRDefault="00FC71B7">
      <w:pPr>
        <w:pStyle w:val="newncpi"/>
      </w:pPr>
      <w:r>
        <w:t>молодым специалистам.</w:t>
      </w:r>
    </w:p>
    <w:p w:rsidR="00FC71B7" w:rsidRDefault="00FC71B7">
      <w:pPr>
        <w:pStyle w:val="point"/>
      </w:pPr>
      <w:r>
        <w:t>2. Компенсирующая выплата – доплата за работу в сельской местности.</w:t>
      </w:r>
    </w:p>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FC71B7">
        <w:tc>
          <w:tcPr>
            <w:tcW w:w="3485" w:type="pct"/>
            <w:tcMar>
              <w:top w:w="0" w:type="dxa"/>
              <w:left w:w="6" w:type="dxa"/>
              <w:bottom w:w="0" w:type="dxa"/>
              <w:right w:w="6" w:type="dxa"/>
            </w:tcMar>
            <w:hideMark/>
          </w:tcPr>
          <w:p w:rsidR="00FC71B7" w:rsidRDefault="00FC71B7">
            <w:pPr>
              <w:pStyle w:val="newncpi"/>
            </w:pPr>
            <w:r>
              <w:t> </w:t>
            </w:r>
          </w:p>
        </w:tc>
        <w:tc>
          <w:tcPr>
            <w:tcW w:w="1515" w:type="pct"/>
            <w:tcMar>
              <w:top w:w="0" w:type="dxa"/>
              <w:left w:w="6" w:type="dxa"/>
              <w:bottom w:w="0" w:type="dxa"/>
              <w:right w:w="6" w:type="dxa"/>
            </w:tcMar>
            <w:hideMark/>
          </w:tcPr>
          <w:p w:rsidR="00FC71B7" w:rsidRDefault="00FC71B7">
            <w:pPr>
              <w:pStyle w:val="capu1"/>
            </w:pPr>
            <w:r>
              <w:t>УТВЕРЖДЕНО</w:t>
            </w:r>
          </w:p>
          <w:p w:rsidR="00FC71B7" w:rsidRDefault="00FC71B7">
            <w:pPr>
              <w:pStyle w:val="cap1"/>
            </w:pPr>
            <w:r>
              <w:t xml:space="preserve">Постановление </w:t>
            </w:r>
            <w:r>
              <w:br/>
              <w:t xml:space="preserve">Министерства сельского </w:t>
            </w:r>
            <w:r>
              <w:br/>
              <w:t xml:space="preserve">хозяйства и продовольствия </w:t>
            </w:r>
            <w:r>
              <w:br/>
              <w:t>Республики Беларусь</w:t>
            </w:r>
            <w:r>
              <w:br/>
              <w:t>19.06.2019 № 36</w:t>
            </w:r>
          </w:p>
        </w:tc>
      </w:tr>
    </w:tbl>
    <w:p w:rsidR="00FC71B7" w:rsidRDefault="00FC71B7">
      <w:pPr>
        <w:pStyle w:val="titleu"/>
      </w:pPr>
      <w:r>
        <w:t>ИНСТРУКЦИЯ</w:t>
      </w:r>
      <w:r>
        <w:br/>
        <w:t>о размерах и порядке осуществления стимулирующих и компенсирующих выплат работникам бюджетных организаций</w:t>
      </w:r>
    </w:p>
    <w:p w:rsidR="00FC71B7" w:rsidRDefault="00FC71B7">
      <w:pPr>
        <w:pStyle w:val="point"/>
      </w:pPr>
      <w:r>
        <w:t>1. Настоящая Инструкция определяет размеры и порядок осуществления стимулирующих и компенсирующих выплат работникам бюджетных организаций.</w:t>
      </w:r>
    </w:p>
    <w:p w:rsidR="00FC71B7" w:rsidRDefault="00FC71B7">
      <w:pPr>
        <w:pStyle w:val="point"/>
      </w:pPr>
      <w:r>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 а также следующие термины и их определения:</w:t>
      </w:r>
    </w:p>
    <w:p w:rsidR="00FC71B7" w:rsidRDefault="00FC71B7">
      <w:pPr>
        <w:pStyle w:val="newncpi"/>
      </w:pPr>
      <w:r>
        <w:t>молодые специалисты – выпускники, работающие по распределению, перераспределению в соответствии с полученной специальностью и присвоенной квалификацией, получившие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в течение срока обязательной работы по распределению, перераспределению;</w:t>
      </w:r>
    </w:p>
    <w:p w:rsidR="00FC71B7" w:rsidRDefault="00FC71B7">
      <w:pPr>
        <w:pStyle w:val="newncpi"/>
      </w:pPr>
      <w:r>
        <w:t>сельская местность – территория, входящая в пространственные пределы сельских советов, за исключением территорий поселков городского типа и городов районного подчинения.</w:t>
      </w:r>
    </w:p>
    <w:p w:rsidR="00FC71B7" w:rsidRDefault="00FC71B7">
      <w:pPr>
        <w:pStyle w:val="point"/>
      </w:pPr>
      <w:r>
        <w:t>3. Надбавка за стаж работы в отрасли работникам бюджетных организаций выплачивается при стаже работы в следующих размерах от базовой ставки:</w:t>
      </w:r>
    </w:p>
    <w:p w:rsidR="00FC71B7" w:rsidRDefault="00FC71B7">
      <w:pPr>
        <w:pStyle w:val="newncpi"/>
      </w:pPr>
      <w:r>
        <w:t>до 5 лет – 10 процентов;</w:t>
      </w:r>
    </w:p>
    <w:p w:rsidR="00FC71B7" w:rsidRDefault="00FC71B7">
      <w:pPr>
        <w:pStyle w:val="newncpi"/>
      </w:pPr>
      <w:r>
        <w:t>от 5 до 10 лет – 15 процентов;</w:t>
      </w:r>
    </w:p>
    <w:p w:rsidR="00FC71B7" w:rsidRDefault="00FC71B7">
      <w:pPr>
        <w:pStyle w:val="newncpi"/>
      </w:pPr>
      <w:r>
        <w:t>от 10 до 15 лет – 20 процентов;</w:t>
      </w:r>
    </w:p>
    <w:p w:rsidR="00FC71B7" w:rsidRDefault="00FC71B7">
      <w:pPr>
        <w:pStyle w:val="newncpi"/>
      </w:pPr>
      <w:r>
        <w:t>от 15 и выше – 30 процентов.</w:t>
      </w:r>
    </w:p>
    <w:p w:rsidR="00FC71B7" w:rsidRDefault="00FC71B7">
      <w:pPr>
        <w:pStyle w:val="point"/>
      </w:pPr>
      <w:r>
        <w:t>4. Для целей исчисления надбавки за стаж работы в отрасли в стаж работы в отрасли засчитываются периоды работы:</w:t>
      </w:r>
    </w:p>
    <w:p w:rsidR="00FC71B7" w:rsidRDefault="00FC71B7">
      <w:pPr>
        <w:pStyle w:val="newncpi"/>
      </w:pPr>
      <w:r>
        <w:t>в организациях (их филиалах, иных обособленных подразделениях), занимающихся производством сельскохозяйственной продукции, продукции рыбоводства;</w:t>
      </w:r>
    </w:p>
    <w:p w:rsidR="00FC71B7" w:rsidRDefault="00FC71B7">
      <w:pPr>
        <w:pStyle w:val="newncpi"/>
      </w:pPr>
      <w:r>
        <w:t>в организациях, имущество которых находится в коммунальной собственности, управлять которым уполномочены комитет по сельскому хозяйству и продовольствию (далее – комитет), управление сельского хозяйства и продовольствия (далее – управление) местного исполнительного и распорядительного органа;</w:t>
      </w:r>
    </w:p>
    <w:p w:rsidR="00FC71B7" w:rsidRDefault="00FC71B7">
      <w:pPr>
        <w:pStyle w:val="newncpi"/>
      </w:pPr>
      <w:r>
        <w:t>в хозяйственных обществах, акции (доли в уставных фондах) которых принадлежат административно-территориальной единице и владельческий надзор в органах управления которых осуществляется комитетом, управлением местного исполнительного и распорядительного органа;</w:t>
      </w:r>
    </w:p>
    <w:p w:rsidR="00FC71B7" w:rsidRDefault="00FC71B7">
      <w:pPr>
        <w:pStyle w:val="newncpi"/>
      </w:pPr>
      <w:r>
        <w:t>в государственных организациях, подчиненных Министерству сельского хозяйства и продовольствия;</w:t>
      </w:r>
    </w:p>
    <w:p w:rsidR="00FC71B7" w:rsidRDefault="00FC71B7">
      <w:pPr>
        <w:pStyle w:val="newncpi"/>
      </w:pPr>
      <w:r>
        <w:t>в хозяйственных обществах, акции (доли в уставных фондах) которых принадлежат Республике Беларусь и переданы в управление Министерства сельского хозяйства и продовольствия.</w:t>
      </w:r>
    </w:p>
    <w:p w:rsidR="00FC71B7" w:rsidRDefault="00FC71B7">
      <w:pPr>
        <w:pStyle w:val="newncpi"/>
      </w:pPr>
      <w:r>
        <w:t>При определении размера надбавки за стаж работы в отрасли периоды работы, подлежащие зачету в стаж работы в бюджетных организациях, не засчитываются.</w:t>
      </w:r>
    </w:p>
    <w:p w:rsidR="00FC71B7" w:rsidRDefault="00FC71B7">
      <w:pPr>
        <w:pStyle w:val="point"/>
      </w:pPr>
      <w:r>
        <w:t>5. Периоды работы, подлежащие зачету для определения размера надбавки за стаж работы в отрасли, суммируются независимо от сроков перерыва в работе.</w:t>
      </w:r>
    </w:p>
    <w:p w:rsidR="00FC71B7" w:rsidRDefault="00FC71B7">
      <w:pPr>
        <w:pStyle w:val="point"/>
      </w:pPr>
      <w:r>
        <w:t>6. Стаж работы в отрасли исчисляется в годах, месяцах и днях и подтверждается трудовой книжкой, а при ее отсутствии – в порядке, предусмотренном для подтверждения трудового стажа для назначения пенсии.</w:t>
      </w:r>
    </w:p>
    <w:p w:rsidR="00FC71B7" w:rsidRDefault="00FC71B7">
      <w:pPr>
        <w:pStyle w:val="point"/>
      </w:pPr>
      <w:r>
        <w:t>7. Надбавка за сложность и напряженность устанавливается по должностям руководителей, специалистов и других служащих бюджетных организаций в пределах бюджетных средств на оплату труда и иных источников, не запрещенных законодательством (за исключением расходов бюджета на оплату труда, восстановленных за счет внебюджетных средств, полученных от приносящей доходы деятельности), от оклада работника.</w:t>
      </w:r>
    </w:p>
    <w:p w:rsidR="00FC71B7" w:rsidRDefault="00FC71B7">
      <w:pPr>
        <w:pStyle w:val="newncpi"/>
      </w:pPr>
      <w:r>
        <w:t>На установление надбавки за сложность и напряженность руководителям, специалистам и другим служащим бюджетных организаций направляются средства, предусматриваемые в соответствующих бюджетах, в размерах согласно приложению 1.</w:t>
      </w:r>
    </w:p>
    <w:p w:rsidR="00FC71B7" w:rsidRDefault="00FC71B7">
      <w:pPr>
        <w:pStyle w:val="newncpi"/>
      </w:pPr>
      <w:r>
        <w:t>Конкретный размер надбавки за сложность и напряженность определяется руководителем бюджетной организации.</w:t>
      </w:r>
    </w:p>
    <w:p w:rsidR="00FC71B7" w:rsidRDefault="00FC71B7">
      <w:pPr>
        <w:pStyle w:val="newncpi"/>
      </w:pPr>
      <w:r>
        <w:t>Конкретный размер надбавки за сложность и напряженность руководителю бюджетной организации устанавливается трудовым договором (контрактом), заключаемым с ним собственником имущества либо уполномоченным им органом.</w:t>
      </w:r>
    </w:p>
    <w:p w:rsidR="00FC71B7" w:rsidRDefault="00FC71B7">
      <w:pPr>
        <w:pStyle w:val="point"/>
      </w:pPr>
      <w:r>
        <w:t>8. Надбавка за специфику деятельности организации устанавливается работникам бюджетных организаций, за исключением ветеринарных работников, указанных в подпункте 1.1 пункта 1 постановления, утвердившего настоящую Инструкцию, в размере 15 процентов оклада.</w:t>
      </w:r>
    </w:p>
    <w:p w:rsidR="00FC71B7" w:rsidRDefault="00FC71B7">
      <w:pPr>
        <w:pStyle w:val="point"/>
      </w:pPr>
      <w:r>
        <w:t>9. Надбавка за характер труда устанавливается по профессиям рабочих бюджетных организаций в пределах бюджетных средств на оплату труда и иных источников, не запрещенных законодательством (за исключением расходов бюджета на оплату труда, восстановленных за счет внебюджетных средств, полученных от приносящей доходы деятельности), от оклада работника.</w:t>
      </w:r>
    </w:p>
    <w:p w:rsidR="00FC71B7" w:rsidRDefault="00FC71B7">
      <w:pPr>
        <w:pStyle w:val="newncpi"/>
      </w:pPr>
      <w:r>
        <w:t>На установление надбавки за характер труда рабочим бюджетных организаций направляются средства, предусматриваемые в соответствующих бюджетах, в размерах согласно приложению 2.</w:t>
      </w:r>
    </w:p>
    <w:p w:rsidR="00FC71B7" w:rsidRDefault="00FC71B7">
      <w:pPr>
        <w:pStyle w:val="newncpi"/>
      </w:pPr>
      <w:r>
        <w:t>Конкретный размер надбавки за характер труда определяется руководителем бюджетной организации.</w:t>
      </w:r>
    </w:p>
    <w:p w:rsidR="00FC71B7" w:rsidRDefault="00FC71B7">
      <w:pPr>
        <w:pStyle w:val="point"/>
      </w:pPr>
      <w:r>
        <w:t>10. Надбавка молодым специалистам устанавливается в размере 10 процентов базовой ставки.</w:t>
      </w:r>
    </w:p>
    <w:p w:rsidR="00FC71B7" w:rsidRDefault="00FC71B7">
      <w:pPr>
        <w:pStyle w:val="point"/>
      </w:pPr>
      <w:r>
        <w:t>11. Доплата за работу в сельской местности устанавливается работникам бюджетных организаций, их филиалов и иных обособленных структурных подразделений, расположенных в сельской местности, в размере 10 процентов оклада.</w:t>
      </w:r>
    </w:p>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FC71B7">
        <w:tc>
          <w:tcPr>
            <w:tcW w:w="3106" w:type="pct"/>
            <w:tcMar>
              <w:top w:w="0" w:type="dxa"/>
              <w:left w:w="6" w:type="dxa"/>
              <w:bottom w:w="0" w:type="dxa"/>
              <w:right w:w="6" w:type="dxa"/>
            </w:tcMar>
            <w:hideMark/>
          </w:tcPr>
          <w:p w:rsidR="00FC71B7" w:rsidRDefault="00FC71B7">
            <w:pPr>
              <w:pStyle w:val="newncpi"/>
            </w:pPr>
            <w:r>
              <w:t> </w:t>
            </w:r>
          </w:p>
        </w:tc>
        <w:tc>
          <w:tcPr>
            <w:tcW w:w="1894" w:type="pct"/>
            <w:tcMar>
              <w:top w:w="0" w:type="dxa"/>
              <w:left w:w="6" w:type="dxa"/>
              <w:bottom w:w="0" w:type="dxa"/>
              <w:right w:w="6" w:type="dxa"/>
            </w:tcMar>
            <w:hideMark/>
          </w:tcPr>
          <w:p w:rsidR="00FC71B7" w:rsidRDefault="00FC71B7">
            <w:pPr>
              <w:pStyle w:val="append1"/>
            </w:pPr>
            <w:r>
              <w:t>Приложение 1</w:t>
            </w:r>
          </w:p>
          <w:p w:rsidR="00FC71B7" w:rsidRDefault="00FC71B7">
            <w:pPr>
              <w:pStyle w:val="append"/>
            </w:pPr>
            <w:r>
              <w:t>к Инструкции о размерах и порядке</w:t>
            </w:r>
            <w:r>
              <w:br/>
              <w:t>осуществления стимулирующих</w:t>
            </w:r>
            <w:r>
              <w:br/>
              <w:t>и компенсирующих выплат</w:t>
            </w:r>
            <w:r>
              <w:br/>
              <w:t>работникам бюджетных организаций</w:t>
            </w:r>
            <w:r>
              <w:br/>
              <w:t>(в редакции постановления</w:t>
            </w:r>
            <w:r>
              <w:br/>
              <w:t>Министерства сельского хозяйства</w:t>
            </w:r>
            <w:r>
              <w:br/>
              <w:t>и продовольствия</w:t>
            </w:r>
            <w:r>
              <w:br/>
              <w:t>Республики Беларусь</w:t>
            </w:r>
            <w:r>
              <w:br/>
              <w:t xml:space="preserve">09.06.2021 № 36) </w:t>
            </w:r>
          </w:p>
        </w:tc>
      </w:tr>
    </w:tbl>
    <w:p w:rsidR="00FC71B7" w:rsidRDefault="00FC71B7">
      <w:pPr>
        <w:pStyle w:val="titlep"/>
        <w:jc w:val="left"/>
      </w:pPr>
      <w:r>
        <w:t>РАЗМЕРЫ СРЕДСТВ,</w:t>
      </w:r>
      <w:r>
        <w:br/>
        <w:t>предусматриваемых в соответствующих бюджетах, направляемых на установление надбавки за сложность и напряженность руководителям, специалистам и другим служащим бюджетных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6"/>
        <w:gridCol w:w="6315"/>
        <w:gridCol w:w="2406"/>
      </w:tblGrid>
      <w:tr w:rsidR="00FC71B7">
        <w:trPr>
          <w:trHeight w:val="240"/>
        </w:trPr>
        <w:tc>
          <w:tcPr>
            <w:tcW w:w="335" w:type="pct"/>
            <w:tcBorders>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w:t>
            </w:r>
            <w:r>
              <w:br/>
              <w:t>п/п</w:t>
            </w:r>
          </w:p>
        </w:tc>
        <w:tc>
          <w:tcPr>
            <w:tcW w:w="3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Бюджетные организации</w:t>
            </w:r>
          </w:p>
        </w:tc>
        <w:tc>
          <w:tcPr>
            <w:tcW w:w="1287" w:type="pct"/>
            <w:tcBorders>
              <w:left w:val="single" w:sz="4" w:space="0" w:color="auto"/>
              <w:bottom w:val="single" w:sz="4" w:space="0" w:color="auto"/>
            </w:tcBorders>
            <w:tcMar>
              <w:top w:w="0" w:type="dxa"/>
              <w:left w:w="6" w:type="dxa"/>
              <w:bottom w:w="0" w:type="dxa"/>
              <w:right w:w="6" w:type="dxa"/>
            </w:tcMar>
            <w:vAlign w:val="center"/>
            <w:hideMark/>
          </w:tcPr>
          <w:p w:rsidR="00FC71B7" w:rsidRDefault="00FC71B7">
            <w:pPr>
              <w:pStyle w:val="table10"/>
              <w:jc w:val="center"/>
            </w:pPr>
            <w:r>
              <w:t>Размер средств</w:t>
            </w:r>
            <w:r>
              <w:br/>
              <w:t>(% от суммы окладов руководителей, специалистов и других служащих)</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 xml:space="preserve">Государственное учреждение «ГЛАВНАЯ ГОСУДАРСТВЕННАЯ ИНСПЕКЦИЯ ПО СЕМЕНОВОДСТВУ, КАРАНТИНУ И ЗАЩИТЕ РАСТЕНИЙ» </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50 до 60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«ГОСУДАРСТВЕННАЯ ИНСПЕКЦИЯ ПО ИСПЫТАНИЮ И ОХРАНЕ СОРТОВ РАСТЕНИЙ»</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50 до 60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3</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Территориальные организации государственного учреждения «ГЛАВНАЯ ГОСУДАРСТВЕННАЯ ИНСПЕКЦИЯ ПО СЕМЕНОВОДСТВУ, КАРАНТИНУ И ЗАЩИТЕ РАСТЕНИЙ»</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60 до 70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4</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сельскохозяйственное учреждение «Вилейская сортоиспытательная станция», государственное сельскохозяйственное учреждение «Лепельская сортоиспытательная станция», государственное сельскохозяйственное учреждение «Лужеснянская сортоиспытательная станция», государственное сельскохозяйственное учреждение «НЕСВИЖСКАЯ СОРТОИСПЫТАТЕЛЬНАЯ СТАНЦИЯ», государственное сельскохозяйственное учреждение «Октябрьская сортоиспытательная станция», государственное сельскохозяйственное учреждение «Турская сортоиспытательная станция», государственное сельскохозяйственное учреждение «Жировичская сортоиспытательная станция», государственное сельскохозяйственное учреждение «Кобринская сортоиспытательная станция», государственное сельскохозяйственное учреждение «Мозырская сортоиспытательная станция», государственное сельскохозяйственное учреждение «Молодечненская сортоиспытательная станция», государственное сельскохозяйственное учреждение «Горецкая сортоиспытательная станция»</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30 до 70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5</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«Белорусская машиноиспытательная станция»</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80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6</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«Республиканский нормативно-исследовательский центр»</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7</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«Центр информационных систем в животноводстве»</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35</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8</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Республиканское учреждение «Государственная хлебная инспекция»</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20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9</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«УЧЕБНО-МЕТОДИЧЕСКИЙ ЦЕНТР МИНСЕЛЬХОЗПРОДА»</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40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10</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дополнительного образования взрослых «Центр повышения квалификации руководящих работников и специалистов» Министерства сельского хозяйства и продовольствия Республики Беларусь</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60</w:t>
            </w:r>
          </w:p>
        </w:tc>
      </w:tr>
      <w:tr w:rsidR="00FC71B7">
        <w:trPr>
          <w:trHeight w:val="240"/>
        </w:trPr>
        <w:tc>
          <w:tcPr>
            <w:tcW w:w="335"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11</w:t>
            </w:r>
          </w:p>
        </w:tc>
        <w:tc>
          <w:tcPr>
            <w:tcW w:w="3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Учреждения образования</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25 до 40</w:t>
            </w:r>
          </w:p>
        </w:tc>
      </w:tr>
      <w:tr w:rsidR="00FC71B7">
        <w:trPr>
          <w:trHeight w:val="240"/>
        </w:trPr>
        <w:tc>
          <w:tcPr>
            <w:tcW w:w="335" w:type="pct"/>
            <w:tcBorders>
              <w:top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12</w:t>
            </w:r>
          </w:p>
        </w:tc>
        <w:tc>
          <w:tcPr>
            <w:tcW w:w="3378" w:type="pct"/>
            <w:tcBorders>
              <w:top w:val="single" w:sz="4" w:space="0" w:color="auto"/>
              <w:left w:val="single" w:sz="4" w:space="0" w:color="auto"/>
              <w:right w:val="single" w:sz="4" w:space="0" w:color="auto"/>
            </w:tcBorders>
            <w:tcMar>
              <w:top w:w="0" w:type="dxa"/>
              <w:left w:w="6" w:type="dxa"/>
              <w:bottom w:w="0" w:type="dxa"/>
              <w:right w:w="6" w:type="dxa"/>
            </w:tcMar>
            <w:hideMark/>
          </w:tcPr>
          <w:p w:rsidR="00FC71B7" w:rsidRDefault="00FC71B7">
            <w:pPr>
              <w:pStyle w:val="table10"/>
            </w:pPr>
            <w:r>
              <w:t>Бюджетные организации государственной ветеринарной службы</w:t>
            </w:r>
          </w:p>
        </w:tc>
        <w:tc>
          <w:tcPr>
            <w:tcW w:w="1287" w:type="pct"/>
            <w:tcBorders>
              <w:top w:val="single" w:sz="4" w:space="0" w:color="auto"/>
              <w:left w:val="single" w:sz="4" w:space="0" w:color="auto"/>
            </w:tcBorders>
            <w:tcMar>
              <w:top w:w="0" w:type="dxa"/>
              <w:left w:w="6" w:type="dxa"/>
              <w:bottom w:w="0" w:type="dxa"/>
              <w:right w:w="6" w:type="dxa"/>
            </w:tcMar>
            <w:hideMark/>
          </w:tcPr>
          <w:p w:rsidR="00FC71B7" w:rsidRDefault="00FC71B7">
            <w:pPr>
              <w:pStyle w:val="table10"/>
              <w:jc w:val="center"/>
            </w:pPr>
            <w:r>
              <w:t>от 20 до 90</w:t>
            </w:r>
          </w:p>
        </w:tc>
      </w:tr>
    </w:tbl>
    <w:p w:rsidR="00FC71B7" w:rsidRDefault="00FC71B7">
      <w:pPr>
        <w:pStyle w:val="newncpi"/>
      </w:pPr>
      <w:r>
        <w:t> </w:t>
      </w:r>
    </w:p>
    <w:tbl>
      <w:tblPr>
        <w:tblW w:w="5000" w:type="pct"/>
        <w:tblCellMar>
          <w:left w:w="0" w:type="dxa"/>
          <w:right w:w="0" w:type="dxa"/>
        </w:tblCellMar>
        <w:tblLook w:val="04A0" w:firstRow="1" w:lastRow="0" w:firstColumn="1" w:lastColumn="0" w:noHBand="0" w:noVBand="1"/>
      </w:tblPr>
      <w:tblGrid>
        <w:gridCol w:w="5813"/>
        <w:gridCol w:w="3544"/>
      </w:tblGrid>
      <w:tr w:rsidR="00FC71B7">
        <w:tc>
          <w:tcPr>
            <w:tcW w:w="3106" w:type="pct"/>
            <w:tcMar>
              <w:top w:w="0" w:type="dxa"/>
              <w:left w:w="6" w:type="dxa"/>
              <w:bottom w:w="0" w:type="dxa"/>
              <w:right w:w="6" w:type="dxa"/>
            </w:tcMar>
            <w:hideMark/>
          </w:tcPr>
          <w:p w:rsidR="00FC71B7" w:rsidRDefault="00FC71B7">
            <w:pPr>
              <w:pStyle w:val="newncpi"/>
            </w:pPr>
            <w:r>
              <w:t> </w:t>
            </w:r>
          </w:p>
        </w:tc>
        <w:tc>
          <w:tcPr>
            <w:tcW w:w="1894" w:type="pct"/>
            <w:tcMar>
              <w:top w:w="0" w:type="dxa"/>
              <w:left w:w="6" w:type="dxa"/>
              <w:bottom w:w="0" w:type="dxa"/>
              <w:right w:w="6" w:type="dxa"/>
            </w:tcMar>
            <w:hideMark/>
          </w:tcPr>
          <w:p w:rsidR="00FC71B7" w:rsidRDefault="00FC71B7">
            <w:pPr>
              <w:pStyle w:val="append1"/>
            </w:pPr>
            <w:r>
              <w:t>Приложение 2</w:t>
            </w:r>
          </w:p>
          <w:p w:rsidR="00FC71B7" w:rsidRDefault="00FC71B7">
            <w:pPr>
              <w:pStyle w:val="append"/>
            </w:pPr>
            <w:r>
              <w:t>к Инструкции о размерах и порядке</w:t>
            </w:r>
            <w:r>
              <w:br/>
              <w:t>осуществления стимулирующих</w:t>
            </w:r>
            <w:r>
              <w:br/>
              <w:t>и компенсирующих выплат</w:t>
            </w:r>
            <w:r>
              <w:br/>
              <w:t>работникам бюджетных организаций</w:t>
            </w:r>
            <w:r>
              <w:br/>
              <w:t>(в редакции постановления</w:t>
            </w:r>
            <w:r>
              <w:br/>
              <w:t>Министерства сельского хозяйства</w:t>
            </w:r>
            <w:r>
              <w:br/>
              <w:t>и продовольствия</w:t>
            </w:r>
            <w:r>
              <w:br/>
              <w:t>Республики Беларусь</w:t>
            </w:r>
            <w:r>
              <w:br/>
              <w:t xml:space="preserve">09.06.2021 № 36) </w:t>
            </w:r>
          </w:p>
        </w:tc>
      </w:tr>
    </w:tbl>
    <w:p w:rsidR="00FC71B7" w:rsidRDefault="00FC71B7">
      <w:pPr>
        <w:pStyle w:val="titlep"/>
        <w:jc w:val="left"/>
      </w:pPr>
      <w:r>
        <w:t>РАЗМЕРЫ СРЕДСТВ,</w:t>
      </w:r>
      <w:r>
        <w:br/>
        <w:t>предусматриваемых в соответствующих бюджетах, направляемых на установление надбавки за характер труда рабочим бюджетных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16"/>
        <w:gridCol w:w="6651"/>
        <w:gridCol w:w="1980"/>
      </w:tblGrid>
      <w:tr w:rsidR="00FC71B7">
        <w:trPr>
          <w:trHeight w:val="240"/>
        </w:trPr>
        <w:tc>
          <w:tcPr>
            <w:tcW w:w="383" w:type="pct"/>
            <w:tcBorders>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w:t>
            </w:r>
            <w:r>
              <w:br/>
              <w:t>п/п</w:t>
            </w:r>
          </w:p>
        </w:tc>
        <w:tc>
          <w:tcPr>
            <w:tcW w:w="35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C71B7" w:rsidRDefault="00FC71B7">
            <w:pPr>
              <w:pStyle w:val="table10"/>
              <w:jc w:val="center"/>
            </w:pPr>
            <w:r>
              <w:t>Бюджетные организации</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rsidR="00FC71B7" w:rsidRDefault="00FC71B7">
            <w:pPr>
              <w:pStyle w:val="table10"/>
              <w:jc w:val="center"/>
            </w:pPr>
            <w:r>
              <w:t>Размер средств</w:t>
            </w:r>
            <w:r>
              <w:br/>
              <w:t>(% от суммы окладов рабочих)</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 xml:space="preserve">Государственное учреждение «ГЛАВНАЯ ГОСУДАРСТВЕННАЯ ИНСПЕКЦИЯ ПО СЕМЕНОВОДСТВУ, КАРАНТИНУ И ЗАЩИТЕ РАСТЕНИЙ» и его территориальные организации </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130 до 140</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2</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«ГОСУДАРСТВЕННАЯ ИНСПЕКЦИЯ ПО ИСПЫТАНИЮ И ОХРАНЕ СОРТОВ РАСТЕНИЙ», государственное сельскохозяйственное учреждение «Вилейская сортоиспытательная станция», государственное сельскохозяйственное учреждение «Лепельская сортоиспытательная станция», государственное сельскохозяйственное учреждение «Лужеснянская сортоиспытательная станция», государственное сельскохозяйственное учреждение «НЕСВИЖСКАЯ СОРТОИСПЫТАТЕЛЬНАЯ СТАНЦИЯ», государственное сельскохозяйственное учреждение «Октябрьская сортоиспытательная станция», государственное сельскохозяйственное учреждение «Турская сортоиспытательная станция», государственное сельскохозяйственное учреждение «Жировичская сортоиспытательная станция», государственное сельскохозяйственное учреждение «Кобринская сортоиспытательная станция», государственное сельскохозяйственное учреждение «Мозырская сортоиспытательная станция», государственное сельскохозяйственное учреждение «Молодечненская сортоиспытательная станция», государственное сельскохозяйственное учреждение «Горецкая сортоиспытательная станция»</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45 до 125</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3</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«Белорусская машиноиспытательная станция»</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90</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4</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«Республиканский нормативно-исследовательский центр»</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60</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5</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«Центр информационных систем в животноводстве»</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65</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6</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Республиканское учреждение «Государственная хлебная инспекция»</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135</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7</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«УЧЕБНО-МЕТОДИЧЕСКИЙ ЦЕНТР МИНСЕЛЬХОЗПРОДА»</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25</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8</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Государственное учреждение дополнительного образования взрослых «Центр повышения квалификации руководящих работников и специалистов» Министерства сельского хозяйства и продовольствия Республики Беларусь</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105</w:t>
            </w:r>
          </w:p>
        </w:tc>
      </w:tr>
      <w:tr w:rsidR="00FC71B7">
        <w:trPr>
          <w:trHeight w:val="240"/>
        </w:trPr>
        <w:tc>
          <w:tcPr>
            <w:tcW w:w="383" w:type="pct"/>
            <w:tcBorders>
              <w:top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9</w:t>
            </w:r>
          </w:p>
        </w:tc>
        <w:tc>
          <w:tcPr>
            <w:tcW w:w="3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C71B7" w:rsidRDefault="00FC71B7">
            <w:pPr>
              <w:pStyle w:val="table10"/>
            </w:pPr>
            <w:r>
              <w:t>Учреждения образования</w:t>
            </w: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rsidR="00FC71B7" w:rsidRDefault="00FC71B7">
            <w:pPr>
              <w:pStyle w:val="table10"/>
              <w:jc w:val="center"/>
            </w:pPr>
            <w:r>
              <w:t>от 25 до 40</w:t>
            </w:r>
          </w:p>
        </w:tc>
      </w:tr>
      <w:tr w:rsidR="00FC71B7">
        <w:trPr>
          <w:trHeight w:val="240"/>
        </w:trPr>
        <w:tc>
          <w:tcPr>
            <w:tcW w:w="383" w:type="pct"/>
            <w:tcBorders>
              <w:top w:val="single" w:sz="4" w:space="0" w:color="auto"/>
              <w:right w:val="single" w:sz="4" w:space="0" w:color="auto"/>
            </w:tcBorders>
            <w:tcMar>
              <w:top w:w="0" w:type="dxa"/>
              <w:left w:w="6" w:type="dxa"/>
              <w:bottom w:w="0" w:type="dxa"/>
              <w:right w:w="6" w:type="dxa"/>
            </w:tcMar>
            <w:hideMark/>
          </w:tcPr>
          <w:p w:rsidR="00FC71B7" w:rsidRDefault="00FC71B7">
            <w:pPr>
              <w:pStyle w:val="table10"/>
              <w:jc w:val="center"/>
            </w:pPr>
            <w:r>
              <w:t>10</w:t>
            </w:r>
          </w:p>
        </w:tc>
        <w:tc>
          <w:tcPr>
            <w:tcW w:w="3557" w:type="pct"/>
            <w:tcBorders>
              <w:top w:val="single" w:sz="4" w:space="0" w:color="auto"/>
              <w:left w:val="single" w:sz="4" w:space="0" w:color="auto"/>
              <w:right w:val="single" w:sz="4" w:space="0" w:color="auto"/>
            </w:tcBorders>
            <w:tcMar>
              <w:top w:w="0" w:type="dxa"/>
              <w:left w:w="6" w:type="dxa"/>
              <w:bottom w:w="0" w:type="dxa"/>
              <w:right w:w="6" w:type="dxa"/>
            </w:tcMar>
            <w:hideMark/>
          </w:tcPr>
          <w:p w:rsidR="00FC71B7" w:rsidRDefault="00FC71B7">
            <w:pPr>
              <w:pStyle w:val="table10"/>
            </w:pPr>
            <w:r>
              <w:t>Бюджетные организации государственной ветеринарной службы</w:t>
            </w:r>
          </w:p>
        </w:tc>
        <w:tc>
          <w:tcPr>
            <w:tcW w:w="1059" w:type="pct"/>
            <w:tcBorders>
              <w:top w:val="single" w:sz="4" w:space="0" w:color="auto"/>
              <w:left w:val="single" w:sz="4" w:space="0" w:color="auto"/>
            </w:tcBorders>
            <w:tcMar>
              <w:top w:w="0" w:type="dxa"/>
              <w:left w:w="6" w:type="dxa"/>
              <w:bottom w:w="0" w:type="dxa"/>
              <w:right w:w="6" w:type="dxa"/>
            </w:tcMar>
            <w:hideMark/>
          </w:tcPr>
          <w:p w:rsidR="00FC71B7" w:rsidRDefault="00FC71B7">
            <w:pPr>
              <w:pStyle w:val="table10"/>
              <w:jc w:val="center"/>
            </w:pPr>
            <w:r>
              <w:t>от 20 до 90</w:t>
            </w:r>
          </w:p>
        </w:tc>
      </w:tr>
    </w:tbl>
    <w:p w:rsidR="00FC71B7" w:rsidRDefault="00FC71B7">
      <w:pPr>
        <w:pStyle w:val="newncpi"/>
      </w:pPr>
      <w:r>
        <w:t> </w:t>
      </w:r>
    </w:p>
    <w:p w:rsidR="00785F3F" w:rsidRDefault="00785F3F"/>
    <w:sectPr w:rsidR="00785F3F" w:rsidSect="00FC71B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B7" w:rsidRDefault="00FC71B7" w:rsidP="00FC71B7">
      <w:pPr>
        <w:spacing w:after="0" w:line="240" w:lineRule="auto"/>
      </w:pPr>
      <w:r>
        <w:separator/>
      </w:r>
    </w:p>
  </w:endnote>
  <w:endnote w:type="continuationSeparator" w:id="0">
    <w:p w:rsidR="00FC71B7" w:rsidRDefault="00FC71B7" w:rsidP="00FC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7" w:rsidRDefault="00FC71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7" w:rsidRDefault="00FC71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C71B7" w:rsidTr="00FC71B7">
      <w:tc>
        <w:tcPr>
          <w:tcW w:w="1800" w:type="dxa"/>
          <w:shd w:val="clear" w:color="auto" w:fill="auto"/>
          <w:vAlign w:val="center"/>
        </w:tcPr>
        <w:p w:rsidR="00FC71B7" w:rsidRDefault="00FC71B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C71B7" w:rsidRDefault="00FC71B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C71B7" w:rsidRDefault="00FC71B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FC71B7" w:rsidRPr="00FC71B7" w:rsidRDefault="00FC71B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C71B7" w:rsidRDefault="00FC7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B7" w:rsidRDefault="00FC71B7" w:rsidP="00FC71B7">
      <w:pPr>
        <w:spacing w:after="0" w:line="240" w:lineRule="auto"/>
      </w:pPr>
      <w:r>
        <w:separator/>
      </w:r>
    </w:p>
  </w:footnote>
  <w:footnote w:type="continuationSeparator" w:id="0">
    <w:p w:rsidR="00FC71B7" w:rsidRDefault="00FC71B7" w:rsidP="00FC7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7" w:rsidRDefault="00FC71B7" w:rsidP="00E6259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71B7" w:rsidRDefault="00FC71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7" w:rsidRPr="00FC71B7" w:rsidRDefault="00FC71B7" w:rsidP="00E62596">
    <w:pPr>
      <w:pStyle w:val="a3"/>
      <w:framePr w:wrap="around" w:vAnchor="text" w:hAnchor="margin" w:xAlign="center" w:y="1"/>
      <w:rPr>
        <w:rStyle w:val="a7"/>
        <w:rFonts w:ascii="Times New Roman" w:hAnsi="Times New Roman" w:cs="Times New Roman"/>
        <w:sz w:val="24"/>
      </w:rPr>
    </w:pPr>
    <w:r w:rsidRPr="00FC71B7">
      <w:rPr>
        <w:rStyle w:val="a7"/>
        <w:rFonts w:ascii="Times New Roman" w:hAnsi="Times New Roman" w:cs="Times New Roman"/>
        <w:sz w:val="24"/>
      </w:rPr>
      <w:fldChar w:fldCharType="begin"/>
    </w:r>
    <w:r w:rsidRPr="00FC71B7">
      <w:rPr>
        <w:rStyle w:val="a7"/>
        <w:rFonts w:ascii="Times New Roman" w:hAnsi="Times New Roman" w:cs="Times New Roman"/>
        <w:sz w:val="24"/>
      </w:rPr>
      <w:instrText xml:space="preserve">PAGE  </w:instrText>
    </w:r>
    <w:r w:rsidRPr="00FC71B7">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FC71B7">
      <w:rPr>
        <w:rStyle w:val="a7"/>
        <w:rFonts w:ascii="Times New Roman" w:hAnsi="Times New Roman" w:cs="Times New Roman"/>
        <w:sz w:val="24"/>
      </w:rPr>
      <w:fldChar w:fldCharType="end"/>
    </w:r>
  </w:p>
  <w:p w:rsidR="00FC71B7" w:rsidRPr="00FC71B7" w:rsidRDefault="00FC71B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B7" w:rsidRDefault="00FC7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B7"/>
    <w:rsid w:val="00785F3F"/>
    <w:rsid w:val="00FC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8A4AD-AB54-4B83-8E95-87736BB2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C71B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FC71B7"/>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FC71B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C71B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C71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C71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C71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C71B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C71B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C71B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C71B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C71B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C71B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C71B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C71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C71B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C71B7"/>
    <w:rPr>
      <w:rFonts w:ascii="Times New Roman" w:hAnsi="Times New Roman" w:cs="Times New Roman" w:hint="default"/>
      <w:caps/>
    </w:rPr>
  </w:style>
  <w:style w:type="character" w:customStyle="1" w:styleId="promulgator">
    <w:name w:val="promulgator"/>
    <w:basedOn w:val="a0"/>
    <w:rsid w:val="00FC71B7"/>
    <w:rPr>
      <w:rFonts w:ascii="Times New Roman" w:hAnsi="Times New Roman" w:cs="Times New Roman" w:hint="default"/>
      <w:caps/>
    </w:rPr>
  </w:style>
  <w:style w:type="character" w:customStyle="1" w:styleId="datepr">
    <w:name w:val="datepr"/>
    <w:basedOn w:val="a0"/>
    <w:rsid w:val="00FC71B7"/>
    <w:rPr>
      <w:rFonts w:ascii="Times New Roman" w:hAnsi="Times New Roman" w:cs="Times New Roman" w:hint="default"/>
    </w:rPr>
  </w:style>
  <w:style w:type="character" w:customStyle="1" w:styleId="number">
    <w:name w:val="number"/>
    <w:basedOn w:val="a0"/>
    <w:rsid w:val="00FC71B7"/>
    <w:rPr>
      <w:rFonts w:ascii="Times New Roman" w:hAnsi="Times New Roman" w:cs="Times New Roman" w:hint="default"/>
    </w:rPr>
  </w:style>
  <w:style w:type="character" w:customStyle="1" w:styleId="post">
    <w:name w:val="post"/>
    <w:basedOn w:val="a0"/>
    <w:rsid w:val="00FC71B7"/>
    <w:rPr>
      <w:rFonts w:ascii="Times New Roman" w:hAnsi="Times New Roman" w:cs="Times New Roman" w:hint="default"/>
      <w:b/>
      <w:bCs/>
      <w:sz w:val="22"/>
      <w:szCs w:val="22"/>
    </w:rPr>
  </w:style>
  <w:style w:type="character" w:customStyle="1" w:styleId="pers">
    <w:name w:val="pers"/>
    <w:basedOn w:val="a0"/>
    <w:rsid w:val="00FC71B7"/>
    <w:rPr>
      <w:rFonts w:ascii="Times New Roman" w:hAnsi="Times New Roman" w:cs="Times New Roman" w:hint="default"/>
      <w:b/>
      <w:bCs/>
      <w:sz w:val="22"/>
      <w:szCs w:val="22"/>
    </w:rPr>
  </w:style>
  <w:style w:type="paragraph" w:styleId="a3">
    <w:name w:val="header"/>
    <w:basedOn w:val="a"/>
    <w:link w:val="a4"/>
    <w:uiPriority w:val="99"/>
    <w:unhideWhenUsed/>
    <w:rsid w:val="00FC71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1B7"/>
  </w:style>
  <w:style w:type="paragraph" w:styleId="a5">
    <w:name w:val="footer"/>
    <w:basedOn w:val="a"/>
    <w:link w:val="a6"/>
    <w:uiPriority w:val="99"/>
    <w:unhideWhenUsed/>
    <w:rsid w:val="00FC7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1B7"/>
  </w:style>
  <w:style w:type="character" w:styleId="a7">
    <w:name w:val="page number"/>
    <w:basedOn w:val="a0"/>
    <w:uiPriority w:val="99"/>
    <w:semiHidden/>
    <w:unhideWhenUsed/>
    <w:rsid w:val="00FC71B7"/>
  </w:style>
  <w:style w:type="table" w:styleId="a8">
    <w:name w:val="Table Grid"/>
    <w:basedOn w:val="a1"/>
    <w:uiPriority w:val="39"/>
    <w:rsid w:val="00FC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13336</Characters>
  <Application>Microsoft Office Word</Application>
  <DocSecurity>0</DocSecurity>
  <Lines>404</Lines>
  <Paragraphs>202</Paragraphs>
  <ScaleCrop>false</ScaleCrop>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2023-06-15T12:11:00Z</dcterms:created>
  <dcterms:modified xsi:type="dcterms:W3CDTF">2023-06-15T12:11:00Z</dcterms:modified>
</cp:coreProperties>
</file>