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4" w:rsidRPr="004C7A3F" w:rsidRDefault="00DE3DC4" w:rsidP="00C84D93">
      <w:pPr>
        <w:jc w:val="center"/>
        <w:rPr>
          <w:b/>
          <w:lang w:val="be-BY"/>
        </w:rPr>
      </w:pPr>
      <w:r w:rsidRPr="004C7A3F">
        <w:rPr>
          <w:b/>
          <w:lang w:val="be-BY"/>
        </w:rPr>
        <w:t>Анализ производственного травматизма в Слуцком районе</w:t>
      </w:r>
    </w:p>
    <w:p w:rsidR="00AB280A" w:rsidRPr="00E66E56" w:rsidRDefault="000977F2" w:rsidP="00C84D93">
      <w:pPr>
        <w:jc w:val="center"/>
        <w:rPr>
          <w:b/>
          <w:lang w:val="be-BY"/>
        </w:rPr>
      </w:pPr>
      <w:r w:rsidRPr="004C7A3F">
        <w:rPr>
          <w:b/>
          <w:lang w:val="be-BY"/>
        </w:rPr>
        <w:t>з</w:t>
      </w:r>
      <w:r w:rsidR="00DE3DC4" w:rsidRPr="004C7A3F">
        <w:rPr>
          <w:b/>
          <w:lang w:val="be-BY"/>
        </w:rPr>
        <w:t>а</w:t>
      </w:r>
      <w:r w:rsidR="00744B73" w:rsidRPr="004C7A3F">
        <w:rPr>
          <w:b/>
          <w:lang w:val="be-BY"/>
        </w:rPr>
        <w:t xml:space="preserve"> </w:t>
      </w:r>
      <w:r w:rsidR="00B1532A">
        <w:rPr>
          <w:b/>
          <w:lang w:val="be-BY"/>
        </w:rPr>
        <w:t xml:space="preserve"> </w:t>
      </w:r>
      <w:r w:rsidR="00DC7565" w:rsidRPr="00E66E56">
        <w:rPr>
          <w:b/>
          <w:lang w:val="be-BY"/>
        </w:rPr>
        <w:t>202</w:t>
      </w:r>
      <w:r w:rsidR="00710697" w:rsidRPr="00E66E56">
        <w:rPr>
          <w:b/>
          <w:lang w:val="be-BY"/>
        </w:rPr>
        <w:t>4</w:t>
      </w:r>
      <w:r w:rsidR="005C7E08">
        <w:rPr>
          <w:b/>
          <w:lang w:val="be-BY"/>
        </w:rPr>
        <w:t xml:space="preserve"> год</w:t>
      </w:r>
    </w:p>
    <w:p w:rsidR="00005681" w:rsidRDefault="00005681" w:rsidP="00DD7868">
      <w:pPr>
        <w:ind w:firstLine="567"/>
        <w:jc w:val="both"/>
        <w:rPr>
          <w:rFonts w:eastAsia="Calibri"/>
          <w:bCs/>
          <w:iCs/>
          <w:lang w:eastAsia="en-US"/>
        </w:rPr>
      </w:pPr>
    </w:p>
    <w:p w:rsidR="00005681" w:rsidRPr="00954502" w:rsidRDefault="00005681" w:rsidP="00005681">
      <w:pPr>
        <w:rPr>
          <w:i/>
          <w:lang w:val="be-BY"/>
        </w:rPr>
      </w:pPr>
      <w:r w:rsidRPr="00954502">
        <w:rPr>
          <w:i/>
          <w:lang w:val="be-BY"/>
        </w:rPr>
        <w:t xml:space="preserve">По имеющейся информации по состоянию на </w:t>
      </w:r>
      <w:r w:rsidR="005C7E08">
        <w:rPr>
          <w:i/>
          <w:lang w:val="be-BY"/>
        </w:rPr>
        <w:t>2</w:t>
      </w:r>
      <w:r w:rsidR="00E456D3">
        <w:rPr>
          <w:i/>
          <w:lang w:val="be-BY"/>
        </w:rPr>
        <w:t>4</w:t>
      </w:r>
      <w:r w:rsidR="00EC18B9">
        <w:rPr>
          <w:i/>
          <w:lang w:val="be-BY"/>
        </w:rPr>
        <w:t xml:space="preserve"> </w:t>
      </w:r>
      <w:r w:rsidR="00E456D3">
        <w:rPr>
          <w:i/>
          <w:lang w:val="be-BY"/>
        </w:rPr>
        <w:t>января 2025</w:t>
      </w:r>
      <w:r w:rsidRPr="00954502">
        <w:rPr>
          <w:i/>
          <w:lang w:val="be-BY"/>
        </w:rPr>
        <w:t xml:space="preserve"> года</w:t>
      </w:r>
    </w:p>
    <w:p w:rsidR="00A07E68" w:rsidRPr="00FC439E" w:rsidRDefault="00A07E68" w:rsidP="00A07E68">
      <w:pPr>
        <w:ind w:firstLine="709"/>
        <w:jc w:val="both"/>
        <w:rPr>
          <w:rFonts w:eastAsia="Calibri"/>
          <w:bCs/>
          <w:iCs/>
          <w:lang w:eastAsia="en-US"/>
        </w:rPr>
      </w:pPr>
      <w:r w:rsidRPr="00FC439E">
        <w:rPr>
          <w:rFonts w:eastAsia="Calibri"/>
          <w:bCs/>
          <w:iCs/>
          <w:lang w:eastAsia="en-US"/>
        </w:rPr>
        <w:t xml:space="preserve">За 2024 год в организациях Слуцкого района зарегистрировано </w:t>
      </w:r>
      <w:r w:rsidR="00BE781E">
        <w:rPr>
          <w:rFonts w:eastAsia="Calibri"/>
          <w:bCs/>
          <w:iCs/>
          <w:lang w:eastAsia="en-US"/>
        </w:rPr>
        <w:t>2</w:t>
      </w:r>
      <w:r w:rsidR="00B4692D">
        <w:rPr>
          <w:rFonts w:eastAsia="Calibri"/>
          <w:bCs/>
          <w:iCs/>
          <w:lang w:eastAsia="en-US"/>
        </w:rPr>
        <w:t>6</w:t>
      </w:r>
      <w:r w:rsidR="00BE781E">
        <w:rPr>
          <w:rFonts w:eastAsia="Calibri"/>
          <w:bCs/>
          <w:iCs/>
          <w:lang w:eastAsia="en-US"/>
        </w:rPr>
        <w:t xml:space="preserve"> несчастных случая</w:t>
      </w:r>
      <w:r w:rsidRPr="00FC439E">
        <w:rPr>
          <w:rFonts w:eastAsia="Calibri"/>
          <w:bCs/>
          <w:iCs/>
          <w:lang w:eastAsia="en-US"/>
        </w:rPr>
        <w:t xml:space="preserve"> на производстве (пострадал</w:t>
      </w:r>
      <w:r w:rsidR="00BE781E">
        <w:rPr>
          <w:rFonts w:eastAsia="Calibri"/>
          <w:bCs/>
          <w:iCs/>
          <w:lang w:eastAsia="en-US"/>
        </w:rPr>
        <w:t>о</w:t>
      </w:r>
      <w:r w:rsidRPr="00FC439E">
        <w:rPr>
          <w:rFonts w:eastAsia="Calibri"/>
          <w:bCs/>
          <w:iCs/>
          <w:lang w:eastAsia="en-US"/>
        </w:rPr>
        <w:t xml:space="preserve"> </w:t>
      </w:r>
      <w:r w:rsidR="00BE781E">
        <w:rPr>
          <w:rFonts w:eastAsia="Calibri"/>
          <w:bCs/>
          <w:iCs/>
          <w:lang w:eastAsia="en-US"/>
        </w:rPr>
        <w:t>2</w:t>
      </w:r>
      <w:r w:rsidR="00E456D3">
        <w:rPr>
          <w:rFonts w:eastAsia="Calibri"/>
          <w:bCs/>
          <w:iCs/>
          <w:lang w:eastAsia="en-US"/>
        </w:rPr>
        <w:t>6</w:t>
      </w:r>
      <w:r w:rsidR="00BE781E">
        <w:rPr>
          <w:rFonts w:eastAsia="Calibri"/>
          <w:bCs/>
          <w:iCs/>
          <w:lang w:eastAsia="en-US"/>
        </w:rPr>
        <w:t xml:space="preserve"> работающих</w:t>
      </w:r>
      <w:r w:rsidRPr="00FC439E">
        <w:rPr>
          <w:rFonts w:eastAsia="Calibri"/>
          <w:bCs/>
          <w:iCs/>
          <w:lang w:eastAsia="en-US"/>
        </w:rPr>
        <w:t>), из которых:</w:t>
      </w:r>
    </w:p>
    <w:p w:rsidR="00A07E68" w:rsidRPr="00FC439E" w:rsidRDefault="00ED1B54" w:rsidP="00A07E68">
      <w:pPr>
        <w:ind w:firstLine="709"/>
        <w:jc w:val="both"/>
        <w:rPr>
          <w:i/>
          <w:u w:val="single"/>
        </w:rPr>
      </w:pPr>
      <w:r>
        <w:rPr>
          <w:rFonts w:eastAsia="Calibri"/>
          <w:b/>
          <w:bCs/>
          <w:iCs/>
          <w:lang w:eastAsia="en-US"/>
        </w:rPr>
        <w:t>3</w:t>
      </w:r>
      <w:r w:rsidR="00A07E68" w:rsidRPr="00FC439E">
        <w:rPr>
          <w:rFonts w:eastAsia="Calibri"/>
          <w:b/>
          <w:bCs/>
          <w:iCs/>
          <w:lang w:eastAsia="en-US"/>
        </w:rPr>
        <w:t xml:space="preserve"> </w:t>
      </w:r>
      <w:r w:rsidR="00A07E68" w:rsidRPr="00FC439E">
        <w:rPr>
          <w:rFonts w:eastAsia="Calibri"/>
          <w:lang w:eastAsia="en-US"/>
        </w:rPr>
        <w:t xml:space="preserve">несчастных случая с тяжелым исходом (пострадало </w:t>
      </w:r>
      <w:r>
        <w:rPr>
          <w:rFonts w:eastAsia="Calibri"/>
          <w:lang w:eastAsia="en-US"/>
        </w:rPr>
        <w:t>3</w:t>
      </w:r>
      <w:r w:rsidR="00A07E68" w:rsidRPr="00FC439E">
        <w:rPr>
          <w:rFonts w:eastAsia="Calibri"/>
          <w:lang w:eastAsia="en-US"/>
        </w:rPr>
        <w:t xml:space="preserve"> работающи</w:t>
      </w:r>
      <w:r w:rsidR="00A07E68">
        <w:rPr>
          <w:rFonts w:eastAsia="Calibri"/>
          <w:lang w:eastAsia="en-US"/>
        </w:rPr>
        <w:t>х</w:t>
      </w:r>
      <w:r w:rsidR="00A07E68" w:rsidRPr="00FC439E">
        <w:rPr>
          <w:rFonts w:eastAsia="Calibri"/>
          <w:lang w:eastAsia="en-US"/>
        </w:rPr>
        <w:t>),</w:t>
      </w:r>
      <w:r w:rsidR="00A07E68" w:rsidRPr="00FC439E">
        <w:rPr>
          <w:rFonts w:eastAsia="Calibri"/>
          <w:bCs/>
          <w:iCs/>
          <w:lang w:eastAsia="en-US"/>
        </w:rPr>
        <w:t xml:space="preserve"> что составляет </w:t>
      </w:r>
      <w:r w:rsidR="00C621A8">
        <w:rPr>
          <w:rFonts w:eastAsia="Calibri"/>
          <w:bCs/>
          <w:iCs/>
          <w:lang w:eastAsia="en-US"/>
        </w:rPr>
        <w:t>11,5</w:t>
      </w:r>
      <w:r w:rsidR="00A07E68">
        <w:rPr>
          <w:rFonts w:eastAsia="Calibri"/>
          <w:bCs/>
          <w:iCs/>
          <w:color w:val="000000" w:themeColor="text1"/>
          <w:lang w:eastAsia="en-US"/>
        </w:rPr>
        <w:t> </w:t>
      </w:r>
      <w:r w:rsidR="00A07E68" w:rsidRPr="00FC439E">
        <w:rPr>
          <w:rFonts w:eastAsia="Calibri"/>
          <w:bCs/>
          <w:iCs/>
          <w:color w:val="000000" w:themeColor="text1"/>
          <w:lang w:eastAsia="en-US"/>
        </w:rPr>
        <w:t>%</w:t>
      </w:r>
      <w:r w:rsidR="00A07E68" w:rsidRPr="00FC439E">
        <w:rPr>
          <w:rFonts w:eastAsia="Calibri"/>
          <w:bCs/>
          <w:iCs/>
          <w:lang w:eastAsia="en-US"/>
        </w:rPr>
        <w:t xml:space="preserve"> от общего числа несчастных случаев </w:t>
      </w:r>
      <w:r w:rsidR="00A07E68" w:rsidRPr="00FC439E">
        <w:rPr>
          <w:rFonts w:eastAsia="Calibri"/>
          <w:bCs/>
          <w:i/>
          <w:iCs/>
          <w:lang w:eastAsia="en-US"/>
        </w:rPr>
        <w:t>(</w:t>
      </w:r>
      <w:r w:rsidR="00A07E68" w:rsidRPr="00FC439E">
        <w:rPr>
          <w:i/>
        </w:rPr>
        <w:t>ОАО «Сороги-Агро</w:t>
      </w:r>
      <w:r w:rsidR="00A07E68" w:rsidRPr="00FC439E">
        <w:rPr>
          <w:i/>
          <w:color w:val="000000"/>
        </w:rPr>
        <w:t>», ООО «Системы связи и автоматики»</w:t>
      </w:r>
      <w:r w:rsidR="004E370E">
        <w:rPr>
          <w:i/>
          <w:color w:val="000000"/>
        </w:rPr>
        <w:t xml:space="preserve"> и</w:t>
      </w:r>
      <w:r>
        <w:rPr>
          <w:i/>
          <w:color w:val="000000"/>
        </w:rPr>
        <w:t xml:space="preserve"> </w:t>
      </w:r>
      <w:r w:rsidR="004E370E">
        <w:rPr>
          <w:i/>
          <w:color w:val="000000"/>
        </w:rPr>
        <w:t>ОАО «</w:t>
      </w:r>
      <w:proofErr w:type="spellStart"/>
      <w:r w:rsidR="004E370E">
        <w:rPr>
          <w:i/>
          <w:color w:val="000000"/>
        </w:rPr>
        <w:t>Козловичи</w:t>
      </w:r>
      <w:proofErr w:type="spellEnd"/>
      <w:r w:rsidR="004E370E">
        <w:rPr>
          <w:i/>
          <w:color w:val="000000"/>
        </w:rPr>
        <w:t>-Агро</w:t>
      </w:r>
      <w:r>
        <w:rPr>
          <w:i/>
          <w:color w:val="000000"/>
        </w:rPr>
        <w:t xml:space="preserve">» - находится </w:t>
      </w:r>
      <w:r w:rsidR="00E40E9A">
        <w:rPr>
          <w:i/>
          <w:color w:val="000000"/>
        </w:rPr>
        <w:br/>
      </w:r>
      <w:r>
        <w:rPr>
          <w:i/>
          <w:color w:val="000000"/>
        </w:rPr>
        <w:t>в стадии расследования</w:t>
      </w:r>
      <w:r w:rsidR="00A07E68" w:rsidRPr="00FC439E">
        <w:rPr>
          <w:i/>
          <w:color w:val="000000"/>
        </w:rPr>
        <w:t>)</w:t>
      </w:r>
      <w:r w:rsidR="00A07E68" w:rsidRPr="00FC439E">
        <w:rPr>
          <w:i/>
        </w:rPr>
        <w:t xml:space="preserve">; </w:t>
      </w:r>
    </w:p>
    <w:p w:rsidR="00656C10" w:rsidRPr="00656C10" w:rsidRDefault="00C621A8" w:rsidP="00CE46C5">
      <w:pPr>
        <w:ind w:firstLine="709"/>
        <w:jc w:val="both"/>
      </w:pPr>
      <w:r>
        <w:rPr>
          <w:rFonts w:eastAsia="Calibri"/>
          <w:b/>
          <w:bCs/>
          <w:iCs/>
          <w:color w:val="000000"/>
        </w:rPr>
        <w:t>2</w:t>
      </w:r>
      <w:r w:rsidR="002E04E7">
        <w:rPr>
          <w:rFonts w:eastAsia="Calibri"/>
          <w:b/>
          <w:bCs/>
          <w:iCs/>
          <w:color w:val="000000"/>
        </w:rPr>
        <w:t>3</w:t>
      </w:r>
      <w:r w:rsidR="00A07E68" w:rsidRPr="00FC439E">
        <w:rPr>
          <w:rFonts w:eastAsia="Calibri"/>
          <w:bCs/>
          <w:iCs/>
          <w:color w:val="000000"/>
        </w:rPr>
        <w:t xml:space="preserve"> </w:t>
      </w:r>
      <w:r>
        <w:rPr>
          <w:rFonts w:eastAsia="Calibri"/>
          <w:bCs/>
          <w:iCs/>
          <w:lang w:eastAsia="en-US"/>
        </w:rPr>
        <w:t>несчастны</w:t>
      </w:r>
      <w:r w:rsidR="002E04E7">
        <w:rPr>
          <w:rFonts w:eastAsia="Calibri"/>
          <w:bCs/>
          <w:iCs/>
          <w:lang w:eastAsia="en-US"/>
        </w:rPr>
        <w:t>х</w:t>
      </w:r>
      <w:r>
        <w:rPr>
          <w:rFonts w:eastAsia="Calibri"/>
          <w:bCs/>
          <w:iCs/>
          <w:lang w:eastAsia="en-US"/>
        </w:rPr>
        <w:t xml:space="preserve"> </w:t>
      </w:r>
      <w:r w:rsidR="00A07E68" w:rsidRPr="00FC439E">
        <w:rPr>
          <w:rFonts w:eastAsia="Calibri"/>
          <w:bCs/>
          <w:iCs/>
          <w:lang w:eastAsia="en-US"/>
        </w:rPr>
        <w:t>случа</w:t>
      </w:r>
      <w:r w:rsidR="002E04E7">
        <w:rPr>
          <w:rFonts w:eastAsia="Calibri"/>
          <w:bCs/>
          <w:iCs/>
          <w:lang w:eastAsia="en-US"/>
        </w:rPr>
        <w:t>я</w:t>
      </w:r>
      <w:r w:rsidR="00A07E68" w:rsidRPr="00FC439E">
        <w:rPr>
          <w:rFonts w:eastAsia="Calibri"/>
          <w:bCs/>
          <w:iCs/>
          <w:lang w:eastAsia="en-US"/>
        </w:rPr>
        <w:t xml:space="preserve"> на производстве не относящи</w:t>
      </w:r>
      <w:r w:rsidR="00222BDD">
        <w:rPr>
          <w:rFonts w:eastAsia="Calibri"/>
          <w:bCs/>
          <w:iCs/>
          <w:lang w:eastAsia="en-US"/>
        </w:rPr>
        <w:t>й</w:t>
      </w:r>
      <w:r w:rsidR="00A07E68" w:rsidRPr="00FC439E">
        <w:rPr>
          <w:rFonts w:eastAsia="Calibri"/>
          <w:bCs/>
          <w:iCs/>
          <w:lang w:eastAsia="en-US"/>
        </w:rPr>
        <w:t>ся к тяжелым производственным травмам</w:t>
      </w:r>
      <w:r w:rsidR="00A07E68" w:rsidRPr="00FC439E">
        <w:rPr>
          <w:rFonts w:eastAsia="Calibri"/>
          <w:b/>
          <w:bCs/>
          <w:iCs/>
          <w:lang w:eastAsia="en-US"/>
        </w:rPr>
        <w:t xml:space="preserve"> </w:t>
      </w:r>
      <w:r w:rsidR="00A07E68" w:rsidRPr="00FC439E">
        <w:rPr>
          <w:rFonts w:eastAsia="Calibri"/>
          <w:bCs/>
          <w:iCs/>
          <w:lang w:eastAsia="en-US"/>
        </w:rPr>
        <w:t xml:space="preserve">(пострадало </w:t>
      </w:r>
      <w:r w:rsidR="00222BDD">
        <w:rPr>
          <w:rFonts w:eastAsia="Calibri"/>
          <w:bCs/>
          <w:iCs/>
          <w:lang w:eastAsia="en-US"/>
        </w:rPr>
        <w:t>2</w:t>
      </w:r>
      <w:r w:rsidR="002E04E7">
        <w:rPr>
          <w:rFonts w:eastAsia="Calibri"/>
          <w:bCs/>
          <w:iCs/>
          <w:lang w:eastAsia="en-US"/>
        </w:rPr>
        <w:t>3</w:t>
      </w:r>
      <w:r w:rsidR="00A07E68" w:rsidRPr="00FC439E">
        <w:rPr>
          <w:rFonts w:eastAsia="Calibri"/>
          <w:bCs/>
          <w:iCs/>
          <w:lang w:eastAsia="en-US"/>
        </w:rPr>
        <w:t xml:space="preserve"> работающих) – </w:t>
      </w:r>
      <w:r w:rsidR="00222BDD">
        <w:rPr>
          <w:rFonts w:eastAsia="Calibri"/>
          <w:bCs/>
          <w:iCs/>
          <w:lang w:eastAsia="en-US"/>
        </w:rPr>
        <w:t>8</w:t>
      </w:r>
      <w:r w:rsidR="002E04E7">
        <w:rPr>
          <w:rFonts w:eastAsia="Calibri"/>
          <w:bCs/>
          <w:iCs/>
          <w:lang w:eastAsia="en-US"/>
        </w:rPr>
        <w:t>8</w:t>
      </w:r>
      <w:r w:rsidR="00222BDD">
        <w:rPr>
          <w:rFonts w:eastAsia="Calibri"/>
          <w:bCs/>
          <w:iCs/>
          <w:lang w:eastAsia="en-US"/>
        </w:rPr>
        <w:t>,</w:t>
      </w:r>
      <w:r w:rsidR="002E04E7">
        <w:rPr>
          <w:rFonts w:eastAsia="Calibri"/>
          <w:bCs/>
          <w:iCs/>
          <w:lang w:eastAsia="en-US"/>
        </w:rPr>
        <w:t>5</w:t>
      </w:r>
      <w:r w:rsidR="00A07E68">
        <w:rPr>
          <w:rFonts w:eastAsia="Calibri"/>
          <w:bCs/>
          <w:iCs/>
          <w:color w:val="000000" w:themeColor="text1"/>
          <w:lang w:eastAsia="en-US"/>
        </w:rPr>
        <w:t> </w:t>
      </w:r>
      <w:r w:rsidR="00A07E68" w:rsidRPr="00FC439E">
        <w:rPr>
          <w:rFonts w:eastAsia="Calibri"/>
          <w:bCs/>
          <w:iCs/>
          <w:color w:val="000000" w:themeColor="text1"/>
          <w:lang w:eastAsia="en-US"/>
        </w:rPr>
        <w:t>% от</w:t>
      </w:r>
      <w:r w:rsidR="00A07E68" w:rsidRPr="00FC439E">
        <w:rPr>
          <w:rFonts w:eastAsia="Calibri"/>
          <w:bCs/>
          <w:iCs/>
          <w:lang w:eastAsia="en-US"/>
        </w:rPr>
        <w:t xml:space="preserve"> общего числа несчастных случаев на производстве </w:t>
      </w:r>
      <w:r w:rsidR="00A07E68" w:rsidRPr="00FC439E">
        <w:rPr>
          <w:rFonts w:eastAsia="Calibri"/>
          <w:bCs/>
          <w:i/>
          <w:iCs/>
          <w:lang w:eastAsia="en-US"/>
        </w:rPr>
        <w:t>(СХФ «Кривая Гряда» ОАО «Слуцкий сыродельный комбинат» (</w:t>
      </w:r>
      <w:r w:rsidR="00DD034A">
        <w:rPr>
          <w:rFonts w:eastAsia="Calibri"/>
          <w:bCs/>
          <w:i/>
          <w:iCs/>
          <w:lang w:eastAsia="en-US"/>
        </w:rPr>
        <w:t>3</w:t>
      </w:r>
      <w:r w:rsidR="00A07E68" w:rsidRPr="00FC439E">
        <w:rPr>
          <w:rFonts w:eastAsia="Calibri"/>
          <w:bCs/>
          <w:i/>
          <w:iCs/>
          <w:lang w:eastAsia="en-US"/>
        </w:rPr>
        <w:t xml:space="preserve"> случая), ОАО «Сороги-Агро (</w:t>
      </w:r>
      <w:r w:rsidR="00CE46C5">
        <w:rPr>
          <w:rFonts w:eastAsia="Calibri"/>
          <w:bCs/>
          <w:i/>
          <w:iCs/>
          <w:lang w:eastAsia="en-US"/>
        </w:rPr>
        <w:t>2</w:t>
      </w:r>
      <w:r w:rsidR="00A07E68" w:rsidRPr="00FC439E">
        <w:rPr>
          <w:rFonts w:eastAsia="Calibri"/>
          <w:bCs/>
          <w:i/>
          <w:iCs/>
          <w:lang w:eastAsia="en-US"/>
        </w:rPr>
        <w:t xml:space="preserve"> случая)», </w:t>
      </w:r>
      <w:r w:rsidR="00A07E68">
        <w:rPr>
          <w:rFonts w:eastAsia="Calibri"/>
          <w:bCs/>
          <w:i/>
          <w:iCs/>
          <w:lang w:eastAsia="en-US"/>
        </w:rPr>
        <w:br/>
      </w:r>
      <w:r w:rsidR="00A07E68" w:rsidRPr="00FC439E">
        <w:rPr>
          <w:rFonts w:eastAsia="Calibri"/>
          <w:bCs/>
          <w:i/>
          <w:iCs/>
          <w:lang w:eastAsia="en-US"/>
        </w:rPr>
        <w:t>ОАО «Подлесье-2003», КУП «</w:t>
      </w:r>
      <w:proofErr w:type="spellStart"/>
      <w:r w:rsidR="00A07E68" w:rsidRPr="00FC439E">
        <w:rPr>
          <w:rFonts w:eastAsia="Calibri"/>
          <w:bCs/>
          <w:i/>
          <w:iCs/>
          <w:lang w:eastAsia="en-US"/>
        </w:rPr>
        <w:t>Слуцкое</w:t>
      </w:r>
      <w:proofErr w:type="spellEnd"/>
      <w:r w:rsidR="00A07E68" w:rsidRPr="00FC439E">
        <w:rPr>
          <w:rFonts w:eastAsia="Calibri"/>
          <w:bCs/>
          <w:i/>
          <w:iCs/>
          <w:lang w:eastAsia="en-US"/>
        </w:rPr>
        <w:t xml:space="preserve"> ЖКХ», СХФ ОАО «Слуцкий сыродельный комбинат» (</w:t>
      </w:r>
      <w:r w:rsidR="00B06D9E">
        <w:rPr>
          <w:rFonts w:eastAsia="Calibri"/>
          <w:bCs/>
          <w:i/>
          <w:iCs/>
          <w:lang w:eastAsia="en-US"/>
        </w:rPr>
        <w:t>4</w:t>
      </w:r>
      <w:r w:rsidR="00A07E68" w:rsidRPr="00FC439E">
        <w:rPr>
          <w:rFonts w:eastAsia="Calibri"/>
          <w:bCs/>
          <w:i/>
          <w:iCs/>
          <w:lang w:eastAsia="en-US"/>
        </w:rPr>
        <w:t xml:space="preserve"> случая), ГУК «Слуцкий районный центр народного творчества», филиал «ПСХ «Наша Нива» ОАО «Слуцкий мясокомбинат»</w:t>
      </w:r>
      <w:r w:rsidR="00222BDD">
        <w:rPr>
          <w:rFonts w:eastAsia="Calibri"/>
          <w:bCs/>
          <w:i/>
          <w:iCs/>
          <w:lang w:eastAsia="en-US"/>
        </w:rPr>
        <w:t xml:space="preserve"> (2 случая)</w:t>
      </w:r>
      <w:r w:rsidR="00A07E68" w:rsidRPr="00FC439E">
        <w:rPr>
          <w:rFonts w:eastAsia="Calibri"/>
          <w:bCs/>
          <w:i/>
          <w:iCs/>
          <w:lang w:eastAsia="en-US"/>
        </w:rPr>
        <w:t>, филиал «ПСХ» ОАО «Слуцкий мясокомбинат»</w:t>
      </w:r>
      <w:r w:rsidR="00FD7B27">
        <w:rPr>
          <w:rFonts w:eastAsia="Calibri"/>
          <w:bCs/>
          <w:i/>
          <w:iCs/>
          <w:lang w:eastAsia="en-US"/>
        </w:rPr>
        <w:t>,</w:t>
      </w:r>
      <w:r w:rsidR="00B62A60">
        <w:rPr>
          <w:rFonts w:eastAsia="Calibri"/>
          <w:bCs/>
          <w:i/>
          <w:iCs/>
          <w:lang w:eastAsia="en-US"/>
        </w:rPr>
        <w:t xml:space="preserve"> ООО «ММТ»,</w:t>
      </w:r>
      <w:r w:rsidR="00FD7B27">
        <w:rPr>
          <w:rFonts w:eastAsia="Calibri"/>
          <w:bCs/>
          <w:i/>
          <w:iCs/>
          <w:lang w:eastAsia="en-US"/>
        </w:rPr>
        <w:t xml:space="preserve"> Учреждение ЛТП № 3</w:t>
      </w:r>
      <w:r w:rsidR="004E370E">
        <w:rPr>
          <w:rFonts w:eastAsia="Calibri"/>
          <w:bCs/>
          <w:i/>
          <w:iCs/>
          <w:lang w:eastAsia="en-US"/>
        </w:rPr>
        <w:t xml:space="preserve"> </w:t>
      </w:r>
      <w:r w:rsidR="004311CF">
        <w:rPr>
          <w:rFonts w:eastAsia="Calibri"/>
          <w:bCs/>
          <w:i/>
          <w:iCs/>
          <w:lang w:eastAsia="en-US"/>
        </w:rPr>
        <w:br/>
      </w:r>
      <w:r w:rsidR="004E370E">
        <w:rPr>
          <w:rFonts w:eastAsia="Calibri"/>
          <w:bCs/>
          <w:i/>
          <w:iCs/>
          <w:lang w:eastAsia="en-US"/>
        </w:rPr>
        <w:t>(</w:t>
      </w:r>
      <w:r w:rsidR="002A6109">
        <w:rPr>
          <w:rFonts w:eastAsia="Calibri"/>
          <w:bCs/>
          <w:i/>
          <w:iCs/>
          <w:lang w:eastAsia="en-US"/>
        </w:rPr>
        <w:t>3</w:t>
      </w:r>
      <w:r w:rsidR="004E370E">
        <w:rPr>
          <w:rFonts w:eastAsia="Calibri"/>
          <w:bCs/>
          <w:i/>
          <w:iCs/>
          <w:lang w:eastAsia="en-US"/>
        </w:rPr>
        <w:t xml:space="preserve"> случая</w:t>
      </w:r>
      <w:r w:rsidR="00A07E68" w:rsidRPr="00FC439E">
        <w:rPr>
          <w:i/>
        </w:rPr>
        <w:t>)</w:t>
      </w:r>
      <w:r w:rsidR="00B62A60">
        <w:rPr>
          <w:i/>
        </w:rPr>
        <w:t>, ДУП «Сельский строительный комбинат»</w:t>
      </w:r>
      <w:r w:rsidR="002A6109">
        <w:rPr>
          <w:i/>
        </w:rPr>
        <w:t>,</w:t>
      </w:r>
      <w:r w:rsidR="00BB1758">
        <w:rPr>
          <w:i/>
        </w:rPr>
        <w:t xml:space="preserve"> ОАО «Агрофирма «Лучники»,</w:t>
      </w:r>
      <w:r w:rsidR="002A6109">
        <w:rPr>
          <w:i/>
        </w:rPr>
        <w:t xml:space="preserve"> ООО «</w:t>
      </w:r>
      <w:proofErr w:type="spellStart"/>
      <w:r w:rsidR="002A6109">
        <w:rPr>
          <w:i/>
        </w:rPr>
        <w:t>Солстройкомплект</w:t>
      </w:r>
      <w:proofErr w:type="spellEnd"/>
      <w:r w:rsidR="002A6109">
        <w:rPr>
          <w:i/>
        </w:rPr>
        <w:t xml:space="preserve">» </w:t>
      </w:r>
      <w:r w:rsidR="003C079C">
        <w:rPr>
          <w:i/>
        </w:rPr>
        <w:t>)</w:t>
      </w:r>
      <w:r w:rsidR="00656C10">
        <w:rPr>
          <w:i/>
        </w:rPr>
        <w:t xml:space="preserve"> </w:t>
      </w:r>
      <w:r w:rsidR="0069571A">
        <w:t>в том числе 1 в</w:t>
      </w:r>
      <w:r w:rsidR="003C079C">
        <w:t xml:space="preserve"> состоянии алкогольного  опьянения</w:t>
      </w:r>
      <w:r w:rsidR="00814046">
        <w:rPr>
          <w:i/>
        </w:rPr>
        <w:t xml:space="preserve"> </w:t>
      </w:r>
      <w:r w:rsidR="003C079C">
        <w:rPr>
          <w:i/>
        </w:rPr>
        <w:t>(</w:t>
      </w:r>
      <w:r w:rsidR="00814046">
        <w:rPr>
          <w:i/>
        </w:rPr>
        <w:t>СУП «</w:t>
      </w:r>
      <w:proofErr w:type="spellStart"/>
      <w:r w:rsidR="00814046">
        <w:rPr>
          <w:i/>
        </w:rPr>
        <w:t>Агросервис</w:t>
      </w:r>
      <w:proofErr w:type="spellEnd"/>
      <w:r w:rsidR="00814046">
        <w:rPr>
          <w:i/>
        </w:rPr>
        <w:t>-ССК»</w:t>
      </w:r>
      <w:r w:rsidR="0069571A">
        <w:rPr>
          <w:i/>
        </w:rPr>
        <w:t xml:space="preserve"> ОАО «Слуцкий сахарорафинадных комбинат»</w:t>
      </w:r>
      <w:r w:rsidR="00B62A60">
        <w:rPr>
          <w:i/>
        </w:rPr>
        <w:t>)</w:t>
      </w:r>
      <w:r w:rsidR="00CE46C5">
        <w:rPr>
          <w:i/>
        </w:rPr>
        <w:t>.</w:t>
      </w:r>
    </w:p>
    <w:p w:rsidR="00A07E68" w:rsidRDefault="00A07E68" w:rsidP="00A07E68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FC439E">
        <w:rPr>
          <w:rFonts w:eastAsia="Calibri"/>
          <w:i/>
          <w:lang w:eastAsia="en-US"/>
        </w:rPr>
        <w:t xml:space="preserve">За аналогичный период 2023 года в районе произошло </w:t>
      </w:r>
      <w:r w:rsidR="00814046">
        <w:rPr>
          <w:rFonts w:eastAsia="Calibri"/>
          <w:i/>
          <w:lang w:eastAsia="en-US"/>
        </w:rPr>
        <w:t>3</w:t>
      </w:r>
      <w:r w:rsidR="004311CF">
        <w:rPr>
          <w:rFonts w:eastAsia="Calibri"/>
          <w:i/>
          <w:lang w:eastAsia="en-US"/>
        </w:rPr>
        <w:t>4</w:t>
      </w:r>
      <w:r w:rsidRPr="00FC439E">
        <w:rPr>
          <w:rFonts w:eastAsia="Calibri"/>
          <w:i/>
          <w:lang w:eastAsia="en-US"/>
        </w:rPr>
        <w:t xml:space="preserve"> несчастных случа</w:t>
      </w:r>
      <w:r w:rsidR="00CE46C5">
        <w:rPr>
          <w:rFonts w:eastAsia="Calibri"/>
          <w:i/>
          <w:lang w:eastAsia="en-US"/>
        </w:rPr>
        <w:t>я</w:t>
      </w:r>
      <w:r w:rsidRPr="00FC439E">
        <w:rPr>
          <w:rFonts w:eastAsia="Calibri"/>
          <w:i/>
          <w:lang w:eastAsia="en-US"/>
        </w:rPr>
        <w:t xml:space="preserve"> на производстве, из которых:</w:t>
      </w:r>
      <w:r w:rsidR="004566F2">
        <w:rPr>
          <w:rFonts w:eastAsia="Calibri"/>
          <w:i/>
          <w:lang w:eastAsia="en-US"/>
        </w:rPr>
        <w:t> </w:t>
      </w:r>
      <w:r w:rsidR="00406150">
        <w:rPr>
          <w:rFonts w:eastAsia="Calibri"/>
          <w:i/>
          <w:lang w:eastAsia="en-US"/>
        </w:rPr>
        <w:t>1</w:t>
      </w:r>
      <w:r w:rsidR="004311CF">
        <w:rPr>
          <w:rFonts w:eastAsia="Calibri"/>
          <w:i/>
          <w:lang w:eastAsia="en-US"/>
        </w:rPr>
        <w:t>3</w:t>
      </w:r>
      <w:r w:rsidRPr="00FC439E">
        <w:rPr>
          <w:rFonts w:eastAsia="Calibri"/>
          <w:i/>
          <w:lang w:eastAsia="en-US"/>
        </w:rPr>
        <w:t> - относятся к тяжелым производственным травмам, в том числе 1 - в состоянии алкогольного опьянения</w:t>
      </w:r>
      <w:r w:rsidRPr="00FC439E">
        <w:rPr>
          <w:rFonts w:eastAsia="Calibri"/>
          <w:bCs/>
          <w:i/>
          <w:iCs/>
          <w:lang w:eastAsia="en-US"/>
        </w:rPr>
        <w:t xml:space="preserve"> и </w:t>
      </w:r>
      <w:r w:rsidR="004311CF">
        <w:rPr>
          <w:rFonts w:eastAsia="Calibri"/>
          <w:bCs/>
          <w:i/>
          <w:iCs/>
          <w:lang w:eastAsia="en-US"/>
        </w:rPr>
        <w:t>21</w:t>
      </w:r>
      <w:r w:rsidRPr="00FC439E">
        <w:rPr>
          <w:rFonts w:eastAsia="Calibri"/>
          <w:bCs/>
          <w:i/>
          <w:iCs/>
          <w:lang w:eastAsia="en-US"/>
        </w:rPr>
        <w:t xml:space="preserve"> - не относятся к тяжелым травмам.</w:t>
      </w:r>
    </w:p>
    <w:p w:rsidR="00B4604A" w:rsidRDefault="00B4604A" w:rsidP="00B4604A">
      <w:pPr>
        <w:jc w:val="both"/>
        <w:rPr>
          <w:rFonts w:eastAsia="Calibri"/>
          <w:bCs/>
          <w:i/>
          <w:iCs/>
          <w:lang w:eastAsia="en-US"/>
        </w:rPr>
      </w:pPr>
      <w:r>
        <w:rPr>
          <w:noProof/>
          <w:sz w:val="30"/>
          <w:szCs w:val="30"/>
        </w:rPr>
        <w:drawing>
          <wp:inline distT="0" distB="0" distL="0" distR="0" wp14:anchorId="37CAAA27" wp14:editId="74EE6FCF">
            <wp:extent cx="6067425" cy="23774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6E56" w:rsidRDefault="00E66E56" w:rsidP="00AE49A7">
      <w:pPr>
        <w:ind w:firstLine="708"/>
        <w:jc w:val="both"/>
        <w:rPr>
          <w:rFonts w:eastAsia="Calibri"/>
          <w:bCs/>
          <w:iCs/>
          <w:lang w:eastAsia="en-US"/>
        </w:rPr>
      </w:pPr>
    </w:p>
    <w:p w:rsidR="00CB7B70" w:rsidRPr="00954502" w:rsidRDefault="00AE49A7" w:rsidP="00AE49A7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954502">
        <w:rPr>
          <w:rFonts w:eastAsia="Calibri"/>
          <w:bCs/>
          <w:iCs/>
          <w:lang w:eastAsia="en-US"/>
        </w:rPr>
        <w:t>По результатам анализа несчастных случаев на произв</w:t>
      </w:r>
      <w:r w:rsidR="00286125" w:rsidRPr="00954502">
        <w:rPr>
          <w:rFonts w:eastAsia="Calibri"/>
          <w:bCs/>
          <w:iCs/>
          <w:lang w:eastAsia="en-US"/>
        </w:rPr>
        <w:t xml:space="preserve">одстве, за период </w:t>
      </w:r>
      <w:r w:rsidRPr="00954502">
        <w:rPr>
          <w:rFonts w:eastAsia="Calibri"/>
          <w:bCs/>
          <w:iCs/>
          <w:lang w:eastAsia="en-US"/>
        </w:rPr>
        <w:t>202</w:t>
      </w:r>
      <w:r w:rsidR="00B8392F" w:rsidRPr="00954502">
        <w:rPr>
          <w:rFonts w:eastAsia="Calibri"/>
          <w:bCs/>
          <w:iCs/>
          <w:lang w:eastAsia="en-US"/>
        </w:rPr>
        <w:t>4</w:t>
      </w:r>
      <w:r w:rsidRPr="00954502">
        <w:rPr>
          <w:rFonts w:eastAsia="Calibri"/>
          <w:bCs/>
          <w:iCs/>
          <w:lang w:eastAsia="en-US"/>
        </w:rPr>
        <w:t xml:space="preserve"> год </w:t>
      </w:r>
      <w:r w:rsidRPr="00954502">
        <w:rPr>
          <w:rFonts w:eastAsia="Calibri"/>
          <w:bCs/>
          <w:iCs/>
          <w:lang w:val="be-BY" w:eastAsia="en-US"/>
        </w:rPr>
        <w:t>в сравнении с аналогичным пери</w:t>
      </w:r>
      <w:r w:rsidR="00CB7B70" w:rsidRPr="00954502">
        <w:rPr>
          <w:rFonts w:eastAsia="Calibri"/>
          <w:bCs/>
          <w:iCs/>
          <w:lang w:val="be-BY" w:eastAsia="en-US"/>
        </w:rPr>
        <w:t>одом 202</w:t>
      </w:r>
      <w:r w:rsidR="00B8392F" w:rsidRPr="00954502">
        <w:rPr>
          <w:rFonts w:eastAsia="Calibri"/>
          <w:bCs/>
          <w:iCs/>
          <w:lang w:val="be-BY" w:eastAsia="en-US"/>
        </w:rPr>
        <w:t xml:space="preserve">3 </w:t>
      </w:r>
      <w:r w:rsidR="00CB7B70" w:rsidRPr="00954502">
        <w:rPr>
          <w:rFonts w:eastAsia="Calibri"/>
          <w:bCs/>
          <w:iCs/>
          <w:lang w:val="be-BY" w:eastAsia="en-US"/>
        </w:rPr>
        <w:t>года:</w:t>
      </w:r>
    </w:p>
    <w:p w:rsidR="00B94061" w:rsidRPr="002859D3" w:rsidRDefault="00CB337F" w:rsidP="00B94061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2859D3">
        <w:rPr>
          <w:rFonts w:eastAsia="Calibri"/>
          <w:bCs/>
          <w:iCs/>
          <w:u w:val="single"/>
          <w:lang w:val="be-BY" w:eastAsia="en-US"/>
        </w:rPr>
        <w:t>отмечено снижение</w:t>
      </w:r>
      <w:r w:rsidRPr="002859D3">
        <w:rPr>
          <w:rFonts w:eastAsia="Calibri"/>
          <w:bCs/>
          <w:iCs/>
          <w:lang w:val="be-BY" w:eastAsia="en-US"/>
        </w:rPr>
        <w:t>:</w:t>
      </w:r>
    </w:p>
    <w:p w:rsidR="00CB337F" w:rsidRPr="002859D3" w:rsidRDefault="00CB337F" w:rsidP="00B94061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2859D3">
        <w:rPr>
          <w:rFonts w:eastAsia="Calibri"/>
          <w:bCs/>
          <w:iCs/>
          <w:lang w:val="be-BY" w:eastAsia="en-US"/>
        </w:rPr>
        <w:t xml:space="preserve">общего количества несчастных случаев (с </w:t>
      </w:r>
      <w:r w:rsidR="00D62208">
        <w:rPr>
          <w:rFonts w:eastAsia="Calibri"/>
          <w:bCs/>
          <w:iCs/>
          <w:lang w:val="be-BY" w:eastAsia="en-US"/>
        </w:rPr>
        <w:t>3</w:t>
      </w:r>
      <w:r w:rsidR="00B60F6D">
        <w:rPr>
          <w:rFonts w:eastAsia="Calibri"/>
          <w:bCs/>
          <w:iCs/>
          <w:lang w:val="be-BY" w:eastAsia="en-US"/>
        </w:rPr>
        <w:t>4</w:t>
      </w:r>
      <w:r w:rsidRPr="002859D3">
        <w:rPr>
          <w:rFonts w:eastAsia="Calibri"/>
          <w:bCs/>
          <w:iCs/>
          <w:lang w:val="be-BY" w:eastAsia="en-US"/>
        </w:rPr>
        <w:t xml:space="preserve"> до </w:t>
      </w:r>
      <w:r w:rsidR="00B9525A">
        <w:rPr>
          <w:rFonts w:eastAsia="Calibri"/>
          <w:bCs/>
          <w:iCs/>
          <w:lang w:val="be-BY" w:eastAsia="en-US"/>
        </w:rPr>
        <w:t>2</w:t>
      </w:r>
      <w:r w:rsidR="00B60F6D">
        <w:rPr>
          <w:rFonts w:eastAsia="Calibri"/>
          <w:bCs/>
          <w:iCs/>
          <w:lang w:val="be-BY" w:eastAsia="en-US"/>
        </w:rPr>
        <w:t>6</w:t>
      </w:r>
      <w:r w:rsidRPr="002859D3">
        <w:rPr>
          <w:rFonts w:eastAsia="Calibri"/>
          <w:bCs/>
          <w:iCs/>
          <w:lang w:val="be-BY" w:eastAsia="en-US"/>
        </w:rPr>
        <w:t>);</w:t>
      </w:r>
    </w:p>
    <w:p w:rsidR="00CB337F" w:rsidRDefault="00CB337F" w:rsidP="00B94061">
      <w:pPr>
        <w:ind w:firstLine="708"/>
        <w:jc w:val="both"/>
        <w:rPr>
          <w:rFonts w:eastAsia="Calibri"/>
          <w:bCs/>
          <w:iCs/>
          <w:lang w:eastAsia="en-US"/>
        </w:rPr>
      </w:pPr>
      <w:r w:rsidRPr="002859D3">
        <w:rPr>
          <w:rFonts w:eastAsia="Calibri"/>
          <w:bCs/>
          <w:iCs/>
          <w:lang w:val="be-BY" w:eastAsia="en-US"/>
        </w:rPr>
        <w:t xml:space="preserve">количества несчастных случаев </w:t>
      </w:r>
      <w:r w:rsidR="003C476A" w:rsidRPr="002859D3">
        <w:rPr>
          <w:rFonts w:eastAsia="Calibri"/>
          <w:bCs/>
          <w:iCs/>
          <w:lang w:eastAsia="en-US"/>
        </w:rPr>
        <w:t xml:space="preserve">относящихся к тяжелым </w:t>
      </w:r>
      <w:r w:rsidRPr="002859D3">
        <w:rPr>
          <w:rFonts w:eastAsia="Calibri"/>
          <w:bCs/>
          <w:iCs/>
          <w:lang w:eastAsia="en-US"/>
        </w:rPr>
        <w:t>производственным травмам</w:t>
      </w:r>
      <w:r w:rsidR="003C476A" w:rsidRPr="002859D3">
        <w:rPr>
          <w:rFonts w:eastAsia="Calibri"/>
          <w:bCs/>
          <w:iCs/>
          <w:lang w:eastAsia="en-US"/>
        </w:rPr>
        <w:t xml:space="preserve"> (с </w:t>
      </w:r>
      <w:r w:rsidR="00D62208">
        <w:rPr>
          <w:rFonts w:eastAsia="Calibri"/>
          <w:bCs/>
          <w:iCs/>
          <w:lang w:eastAsia="en-US"/>
        </w:rPr>
        <w:t>1</w:t>
      </w:r>
      <w:r w:rsidR="00B60F6D">
        <w:rPr>
          <w:rFonts w:eastAsia="Calibri"/>
          <w:bCs/>
          <w:iCs/>
          <w:lang w:eastAsia="en-US"/>
        </w:rPr>
        <w:t>3</w:t>
      </w:r>
      <w:r w:rsidR="003C476A" w:rsidRPr="002859D3">
        <w:rPr>
          <w:rFonts w:eastAsia="Calibri"/>
          <w:bCs/>
          <w:iCs/>
          <w:lang w:eastAsia="en-US"/>
        </w:rPr>
        <w:t xml:space="preserve"> до </w:t>
      </w:r>
      <w:r w:rsidR="00C80B30">
        <w:rPr>
          <w:rFonts w:eastAsia="Calibri"/>
          <w:bCs/>
          <w:iCs/>
          <w:lang w:eastAsia="en-US"/>
        </w:rPr>
        <w:t>3</w:t>
      </w:r>
      <w:r w:rsidR="00E03F12">
        <w:rPr>
          <w:rFonts w:eastAsia="Calibri"/>
          <w:bCs/>
          <w:iCs/>
          <w:lang w:eastAsia="en-US"/>
        </w:rPr>
        <w:t>);</w:t>
      </w:r>
    </w:p>
    <w:p w:rsidR="00B9525A" w:rsidRDefault="00E03F12" w:rsidP="00B9525A">
      <w:pPr>
        <w:ind w:firstLine="708"/>
        <w:jc w:val="both"/>
        <w:rPr>
          <w:bCs/>
          <w:iCs/>
          <w:u w:val="single"/>
        </w:rPr>
      </w:pPr>
      <w:r>
        <w:rPr>
          <w:rFonts w:eastAsia="Calibri"/>
          <w:bCs/>
          <w:iCs/>
          <w:lang w:val="be-BY" w:eastAsia="en-US"/>
        </w:rPr>
        <w:t xml:space="preserve"> </w:t>
      </w:r>
      <w:r w:rsidR="0075691A" w:rsidRPr="002859D3">
        <w:rPr>
          <w:bCs/>
          <w:iCs/>
          <w:u w:val="single"/>
        </w:rPr>
        <w:t>отмечен рост</w:t>
      </w:r>
      <w:r w:rsidR="00B9525A">
        <w:rPr>
          <w:bCs/>
          <w:iCs/>
          <w:u w:val="single"/>
        </w:rPr>
        <w:t>:</w:t>
      </w:r>
    </w:p>
    <w:p w:rsidR="00752D02" w:rsidRDefault="00752D02" w:rsidP="00B9525A">
      <w:pPr>
        <w:ind w:firstLine="708"/>
        <w:jc w:val="both"/>
        <w:rPr>
          <w:rFonts w:eastAsia="Calibri"/>
          <w:bCs/>
          <w:iCs/>
          <w:lang w:eastAsia="en-US"/>
        </w:rPr>
      </w:pPr>
      <w:r w:rsidRPr="002859D3">
        <w:rPr>
          <w:rFonts w:eastAsia="Calibri"/>
          <w:lang w:val="be-BY" w:eastAsia="en-US"/>
        </w:rPr>
        <w:lastRenderedPageBreak/>
        <w:t xml:space="preserve">несчастных случаев </w:t>
      </w:r>
      <w:r w:rsidRPr="002859D3">
        <w:rPr>
          <w:rFonts w:eastAsia="Calibri"/>
          <w:bCs/>
          <w:iCs/>
          <w:lang w:eastAsia="en-US"/>
        </w:rPr>
        <w:t>не относящихся к тяжелым травмам</w:t>
      </w:r>
      <w:r>
        <w:rPr>
          <w:rFonts w:eastAsia="Calibri"/>
          <w:bCs/>
          <w:iCs/>
          <w:lang w:eastAsia="en-US"/>
        </w:rPr>
        <w:t xml:space="preserve"> (с 21 до 23); </w:t>
      </w:r>
    </w:p>
    <w:p w:rsidR="00B9525A" w:rsidRDefault="0075691A" w:rsidP="00B9525A">
      <w:pPr>
        <w:ind w:firstLine="708"/>
        <w:jc w:val="both"/>
        <w:rPr>
          <w:rFonts w:eastAsia="Calibri"/>
          <w:bCs/>
          <w:iCs/>
          <w:lang w:eastAsia="en-US"/>
        </w:rPr>
      </w:pPr>
      <w:r w:rsidRPr="002859D3">
        <w:rPr>
          <w:bCs/>
          <w:iCs/>
        </w:rPr>
        <w:t>н</w:t>
      </w:r>
      <w:r w:rsidR="00827668" w:rsidRPr="002859D3">
        <w:rPr>
          <w:bCs/>
          <w:iCs/>
        </w:rPr>
        <w:t xml:space="preserve">есчастных случаев </w:t>
      </w:r>
      <w:r w:rsidR="00827668" w:rsidRPr="002859D3">
        <w:rPr>
          <w:rFonts w:eastAsia="Calibri"/>
          <w:bCs/>
          <w:iCs/>
          <w:lang w:eastAsia="en-US"/>
        </w:rPr>
        <w:t>со смертельным исходом</w:t>
      </w:r>
      <w:r w:rsidRPr="002859D3">
        <w:rPr>
          <w:rFonts w:eastAsia="Calibri"/>
          <w:bCs/>
          <w:iCs/>
          <w:lang w:eastAsia="en-US"/>
        </w:rPr>
        <w:t xml:space="preserve"> (с 0 до </w:t>
      </w:r>
      <w:r w:rsidR="00D62208">
        <w:rPr>
          <w:rFonts w:eastAsia="Calibri"/>
          <w:bCs/>
          <w:iCs/>
          <w:lang w:eastAsia="en-US"/>
        </w:rPr>
        <w:t>1</w:t>
      </w:r>
      <w:r w:rsidRPr="002859D3">
        <w:rPr>
          <w:rFonts w:eastAsia="Calibri"/>
          <w:bCs/>
          <w:iCs/>
          <w:lang w:eastAsia="en-US"/>
        </w:rPr>
        <w:t>)</w:t>
      </w:r>
      <w:r w:rsidR="006F469D">
        <w:rPr>
          <w:rFonts w:eastAsia="Calibri"/>
          <w:bCs/>
          <w:iCs/>
          <w:lang w:eastAsia="en-US"/>
        </w:rPr>
        <w:t>.</w:t>
      </w:r>
    </w:p>
    <w:p w:rsidR="00B9525A" w:rsidRPr="002859D3" w:rsidRDefault="006F469D" w:rsidP="00B9525A">
      <w:pPr>
        <w:ind w:firstLine="708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lang w:val="be-BY" w:eastAsia="en-US"/>
        </w:rPr>
        <w:t>К</w:t>
      </w:r>
      <w:r w:rsidR="00B9525A" w:rsidRPr="002859D3">
        <w:rPr>
          <w:rFonts w:eastAsia="Calibri"/>
          <w:lang w:val="be-BY" w:eastAsia="en-US"/>
        </w:rPr>
        <w:t>оличеств</w:t>
      </w:r>
      <w:r>
        <w:rPr>
          <w:rFonts w:eastAsia="Calibri"/>
          <w:lang w:val="be-BY" w:eastAsia="en-US"/>
        </w:rPr>
        <w:t>о</w:t>
      </w:r>
      <w:r w:rsidR="00B9525A" w:rsidRPr="002859D3">
        <w:rPr>
          <w:rFonts w:eastAsia="Calibri"/>
          <w:lang w:val="be-BY" w:eastAsia="en-US"/>
        </w:rPr>
        <w:t xml:space="preserve"> </w:t>
      </w:r>
      <w:r w:rsidR="00752D02" w:rsidRPr="002859D3">
        <w:rPr>
          <w:bCs/>
          <w:iCs/>
        </w:rPr>
        <w:t xml:space="preserve">несчастных случаев </w:t>
      </w:r>
      <w:r w:rsidR="00752D02" w:rsidRPr="002859D3">
        <w:rPr>
          <w:rFonts w:eastAsia="Calibri"/>
          <w:bCs/>
          <w:iCs/>
          <w:lang w:eastAsia="en-US"/>
        </w:rPr>
        <w:t xml:space="preserve">со смертельным исходом </w:t>
      </w:r>
      <w:r w:rsidR="00752D02">
        <w:rPr>
          <w:rFonts w:eastAsia="Calibri"/>
          <w:bCs/>
          <w:iCs/>
          <w:lang w:eastAsia="en-US"/>
        </w:rPr>
        <w:t xml:space="preserve">и </w:t>
      </w:r>
      <w:r w:rsidR="00B60F6D" w:rsidRPr="002859D3">
        <w:rPr>
          <w:rFonts w:eastAsia="Calibri"/>
          <w:bCs/>
          <w:iCs/>
          <w:lang w:val="be-BY" w:eastAsia="en-US"/>
        </w:rPr>
        <w:t>количеств</w:t>
      </w:r>
      <w:r w:rsidR="00B60F6D">
        <w:rPr>
          <w:rFonts w:eastAsia="Calibri"/>
          <w:bCs/>
          <w:iCs/>
          <w:lang w:val="be-BY" w:eastAsia="en-US"/>
        </w:rPr>
        <w:t>о</w:t>
      </w:r>
      <w:r w:rsidR="00B60F6D" w:rsidRPr="002859D3">
        <w:rPr>
          <w:rFonts w:eastAsia="Calibri"/>
          <w:bCs/>
          <w:iCs/>
          <w:lang w:val="be-BY" w:eastAsia="en-US"/>
        </w:rPr>
        <w:t xml:space="preserve"> несчастных случаев</w:t>
      </w:r>
      <w:r w:rsidR="00B60F6D">
        <w:rPr>
          <w:rFonts w:eastAsia="Calibri"/>
          <w:bCs/>
          <w:iCs/>
          <w:lang w:val="be-BY" w:eastAsia="en-US"/>
        </w:rPr>
        <w:t xml:space="preserve"> в состоянии алкогольного опьянения</w:t>
      </w:r>
      <w:r w:rsidR="00B9525A" w:rsidRPr="002859D3">
        <w:rPr>
          <w:rFonts w:eastAsia="Calibri"/>
          <w:bCs/>
          <w:iCs/>
          <w:lang w:eastAsia="en-US"/>
        </w:rPr>
        <w:t xml:space="preserve"> </w:t>
      </w:r>
      <w:r>
        <w:rPr>
          <w:rFonts w:eastAsia="Calibri"/>
          <w:bCs/>
          <w:iCs/>
          <w:lang w:eastAsia="en-US"/>
        </w:rPr>
        <w:t xml:space="preserve">осталось на уровне 2023 года </w:t>
      </w:r>
      <w:r w:rsidR="00194BD7">
        <w:rPr>
          <w:rFonts w:eastAsia="Calibri"/>
          <w:bCs/>
          <w:iCs/>
          <w:lang w:eastAsia="en-US"/>
        </w:rPr>
        <w:t>(</w:t>
      </w:r>
      <w:r w:rsidR="00752D02">
        <w:rPr>
          <w:rFonts w:eastAsia="Calibri"/>
          <w:bCs/>
          <w:iCs/>
          <w:lang w:eastAsia="en-US"/>
        </w:rPr>
        <w:t>0</w:t>
      </w:r>
      <w:r>
        <w:rPr>
          <w:rFonts w:eastAsia="Calibri"/>
          <w:bCs/>
          <w:iCs/>
          <w:lang w:eastAsia="en-US"/>
        </w:rPr>
        <w:t xml:space="preserve"> </w:t>
      </w:r>
      <w:r w:rsidR="00B60F6D">
        <w:rPr>
          <w:rFonts w:eastAsia="Calibri"/>
          <w:bCs/>
          <w:iCs/>
          <w:lang w:eastAsia="en-US"/>
        </w:rPr>
        <w:t xml:space="preserve"> и 1 </w:t>
      </w:r>
      <w:r>
        <w:rPr>
          <w:rFonts w:eastAsia="Calibri"/>
          <w:bCs/>
          <w:iCs/>
          <w:lang w:eastAsia="en-US"/>
        </w:rPr>
        <w:t>случа</w:t>
      </w:r>
      <w:r w:rsidR="00B60F6D">
        <w:rPr>
          <w:rFonts w:eastAsia="Calibri"/>
          <w:bCs/>
          <w:iCs/>
          <w:lang w:eastAsia="en-US"/>
        </w:rPr>
        <w:t>й соответственно</w:t>
      </w:r>
      <w:r w:rsidR="00194BD7">
        <w:rPr>
          <w:rFonts w:eastAsia="Calibri"/>
          <w:bCs/>
          <w:iCs/>
          <w:lang w:eastAsia="en-US"/>
        </w:rPr>
        <w:t>)</w:t>
      </w:r>
      <w:r w:rsidR="00B9525A" w:rsidRPr="002859D3">
        <w:rPr>
          <w:rFonts w:eastAsia="Calibri"/>
          <w:bCs/>
          <w:iCs/>
          <w:lang w:eastAsia="en-US"/>
        </w:rPr>
        <w:t>.</w:t>
      </w:r>
    </w:p>
    <w:p w:rsidR="00663822" w:rsidRPr="009A3EFA" w:rsidRDefault="00663822" w:rsidP="00663822">
      <w:pPr>
        <w:ind w:firstLine="709"/>
        <w:jc w:val="both"/>
      </w:pPr>
      <w:r w:rsidRPr="009A3EFA">
        <w:rPr>
          <w:lang w:val="be-BY"/>
        </w:rPr>
        <w:t>З</w:t>
      </w:r>
      <w:r w:rsidRPr="009A3EFA">
        <w:t>а 2024 год, в сравнении с аналогичным периодом 2023 года:</w:t>
      </w:r>
    </w:p>
    <w:p w:rsidR="000C0D94" w:rsidRPr="009A3EFA" w:rsidRDefault="00226BC9" w:rsidP="00BB299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9A3EFA">
        <w:rPr>
          <w:bCs/>
          <w:iCs/>
        </w:rPr>
        <w:t xml:space="preserve">общее </w:t>
      </w:r>
      <w:r w:rsidRPr="009A3EFA">
        <w:rPr>
          <w:lang w:val="be-BY"/>
        </w:rPr>
        <w:t xml:space="preserve">количество случаев травмирования </w:t>
      </w:r>
      <w:r w:rsidRPr="009A3EFA">
        <w:rPr>
          <w:bCs/>
          <w:iCs/>
        </w:rPr>
        <w:t>потерпевших,</w:t>
      </w:r>
      <w:r w:rsidRPr="009A3EFA">
        <w:rPr>
          <w:lang w:val="be-BY"/>
        </w:rPr>
        <w:t xml:space="preserve"> </w:t>
      </w:r>
      <w:r w:rsidRPr="009A3EFA">
        <w:rPr>
          <w:bCs/>
          <w:iCs/>
        </w:rPr>
        <w:t xml:space="preserve">получивших производственные травмы </w:t>
      </w:r>
      <w:r w:rsidR="00093C9F" w:rsidRPr="009A3EFA">
        <w:rPr>
          <w:bCs/>
          <w:iCs/>
        </w:rPr>
        <w:t xml:space="preserve">и удельный вес </w:t>
      </w:r>
      <w:r w:rsidR="00093C9F" w:rsidRPr="009A3EFA">
        <w:rPr>
          <w:lang w:val="be-BY"/>
        </w:rPr>
        <w:t xml:space="preserve">потерпевших </w:t>
      </w:r>
      <w:r w:rsidRPr="009A3EFA">
        <w:rPr>
          <w:bCs/>
          <w:iCs/>
        </w:rPr>
        <w:t xml:space="preserve">в организациях </w:t>
      </w:r>
      <w:r w:rsidR="000D679D" w:rsidRPr="009A3EFA">
        <w:rPr>
          <w:b/>
          <w:bCs/>
          <w:i/>
          <w:iCs/>
        </w:rPr>
        <w:t>сельского хозяйства,</w:t>
      </w:r>
      <w:r w:rsidR="000D679D" w:rsidRPr="009A3EFA">
        <w:rPr>
          <w:bCs/>
          <w:iCs/>
        </w:rPr>
        <w:t> увеличился</w:t>
      </w:r>
      <w:r w:rsidR="00093C9F" w:rsidRPr="009A3EFA">
        <w:rPr>
          <w:lang w:val="be-BY"/>
        </w:rPr>
        <w:t xml:space="preserve"> </w:t>
      </w:r>
      <w:r w:rsidR="001E51A0" w:rsidRPr="009A3EFA">
        <w:rPr>
          <w:bCs/>
          <w:iCs/>
        </w:rPr>
        <w:t xml:space="preserve">с </w:t>
      </w:r>
      <w:r w:rsidR="002364C9" w:rsidRPr="009A3EFA">
        <w:rPr>
          <w:bCs/>
          <w:iCs/>
        </w:rPr>
        <w:t>1</w:t>
      </w:r>
      <w:r w:rsidR="00433755" w:rsidRPr="009A3EFA">
        <w:rPr>
          <w:bCs/>
          <w:iCs/>
        </w:rPr>
        <w:t>5</w:t>
      </w:r>
      <w:r w:rsidR="002364C9" w:rsidRPr="009A3EFA">
        <w:rPr>
          <w:bCs/>
          <w:iCs/>
        </w:rPr>
        <w:t xml:space="preserve"> </w:t>
      </w:r>
      <w:r w:rsidR="000D679D" w:rsidRPr="009A3EFA">
        <w:rPr>
          <w:bCs/>
          <w:iCs/>
        </w:rPr>
        <w:t>случаев (</w:t>
      </w:r>
      <w:r w:rsidR="00A73EE2" w:rsidRPr="009A3EFA">
        <w:rPr>
          <w:bCs/>
          <w:iCs/>
        </w:rPr>
        <w:t>4</w:t>
      </w:r>
      <w:r w:rsidR="00433755" w:rsidRPr="009A3EFA">
        <w:rPr>
          <w:bCs/>
          <w:iCs/>
        </w:rPr>
        <w:t>4,1</w:t>
      </w:r>
      <w:r w:rsidR="00A07E68" w:rsidRPr="009A3EFA">
        <w:rPr>
          <w:bCs/>
          <w:iCs/>
        </w:rPr>
        <w:t> </w:t>
      </w:r>
      <w:r w:rsidR="000D679D" w:rsidRPr="009A3EFA">
        <w:rPr>
          <w:bCs/>
          <w:iCs/>
        </w:rPr>
        <w:t>%)</w:t>
      </w:r>
      <w:r w:rsidR="001E51A0" w:rsidRPr="009A3EFA">
        <w:rPr>
          <w:bCs/>
          <w:iCs/>
        </w:rPr>
        <w:t xml:space="preserve"> до </w:t>
      </w:r>
      <w:r w:rsidR="00FF1BDB" w:rsidRPr="009A3EFA">
        <w:rPr>
          <w:bCs/>
          <w:iCs/>
        </w:rPr>
        <w:t>1</w:t>
      </w:r>
      <w:r w:rsidR="009A3EFA" w:rsidRPr="009A3EFA">
        <w:rPr>
          <w:bCs/>
          <w:iCs/>
        </w:rPr>
        <w:t>7</w:t>
      </w:r>
      <w:r w:rsidR="00433755" w:rsidRPr="009A3EFA">
        <w:rPr>
          <w:bCs/>
          <w:iCs/>
        </w:rPr>
        <w:t xml:space="preserve"> </w:t>
      </w:r>
      <w:r w:rsidRPr="009A3EFA">
        <w:rPr>
          <w:bCs/>
          <w:iCs/>
        </w:rPr>
        <w:t>случаев</w:t>
      </w:r>
      <w:r w:rsidR="000D679D" w:rsidRPr="009A3EFA">
        <w:rPr>
          <w:bCs/>
          <w:iCs/>
        </w:rPr>
        <w:t xml:space="preserve"> (</w:t>
      </w:r>
      <w:r w:rsidR="009A3EFA" w:rsidRPr="009A3EFA">
        <w:rPr>
          <w:bCs/>
          <w:iCs/>
        </w:rPr>
        <w:t>65,4</w:t>
      </w:r>
      <w:r w:rsidR="00A07E68" w:rsidRPr="009A3EFA">
        <w:rPr>
          <w:bCs/>
          <w:iCs/>
        </w:rPr>
        <w:t> </w:t>
      </w:r>
      <w:r w:rsidR="000D679D" w:rsidRPr="009A3EFA">
        <w:rPr>
          <w:bCs/>
          <w:iCs/>
        </w:rPr>
        <w:t>%</w:t>
      </w:r>
      <w:r w:rsidR="001903CF" w:rsidRPr="009A3EFA">
        <w:rPr>
          <w:bCs/>
          <w:iCs/>
        </w:rPr>
        <w:t>)</w:t>
      </w:r>
      <w:r w:rsidR="000D679D" w:rsidRPr="009A3EFA">
        <w:rPr>
          <w:bCs/>
          <w:iCs/>
        </w:rPr>
        <w:t>.</w:t>
      </w:r>
      <w:r w:rsidR="00A1136E" w:rsidRPr="009A3EFA">
        <w:rPr>
          <w:bCs/>
          <w:iCs/>
        </w:rPr>
        <w:t xml:space="preserve"> </w:t>
      </w:r>
    </w:p>
    <w:p w:rsidR="00427A8B" w:rsidRPr="009A3EFA" w:rsidRDefault="000E1407" w:rsidP="000C0D94">
      <w:pPr>
        <w:pStyle w:val="a5"/>
        <w:tabs>
          <w:tab w:val="left" w:pos="993"/>
        </w:tabs>
        <w:ind w:left="709"/>
        <w:jc w:val="both"/>
        <w:rPr>
          <w:bCs/>
          <w:iCs/>
        </w:rPr>
      </w:pPr>
      <w:r w:rsidRPr="009A3EFA">
        <w:rPr>
          <w:bCs/>
          <w:iCs/>
          <w:u w:val="single"/>
        </w:rPr>
        <w:t>О</w:t>
      </w:r>
      <w:r w:rsidR="00231CE6" w:rsidRPr="009A3EFA">
        <w:rPr>
          <w:bCs/>
          <w:iCs/>
          <w:u w:val="single"/>
        </w:rPr>
        <w:t>т</w:t>
      </w:r>
      <w:r w:rsidR="009C4796" w:rsidRPr="009A3EFA">
        <w:rPr>
          <w:bCs/>
          <w:iCs/>
          <w:u w:val="single"/>
        </w:rPr>
        <w:t>мечено увеличение</w:t>
      </w:r>
      <w:r w:rsidR="00427A8B" w:rsidRPr="009A3EFA">
        <w:rPr>
          <w:bCs/>
          <w:iCs/>
          <w:u w:val="single"/>
        </w:rPr>
        <w:t>:</w:t>
      </w:r>
      <w:r w:rsidR="00427A8B" w:rsidRPr="009A3EFA">
        <w:rPr>
          <w:bCs/>
          <w:iCs/>
        </w:rPr>
        <w:t xml:space="preserve"> </w:t>
      </w:r>
      <w:r w:rsidR="00D14732" w:rsidRPr="009A3EFA">
        <w:rPr>
          <w:bCs/>
          <w:iCs/>
        </w:rPr>
        <w:t xml:space="preserve"> </w:t>
      </w:r>
    </w:p>
    <w:p w:rsidR="000E1407" w:rsidRPr="009A3EFA" w:rsidRDefault="00231CE6" w:rsidP="00D14732">
      <w:pPr>
        <w:ind w:firstLine="709"/>
        <w:jc w:val="both"/>
        <w:rPr>
          <w:bCs/>
          <w:iCs/>
        </w:rPr>
      </w:pPr>
      <w:r w:rsidRPr="009A3EFA">
        <w:rPr>
          <w:bCs/>
          <w:iCs/>
        </w:rPr>
        <w:t xml:space="preserve">количества несчастных случаев, не относящихся </w:t>
      </w:r>
      <w:r w:rsidR="009C4796" w:rsidRPr="009A3EFA">
        <w:rPr>
          <w:bCs/>
          <w:iCs/>
        </w:rPr>
        <w:br/>
      </w:r>
      <w:r w:rsidRPr="009A3EFA">
        <w:rPr>
          <w:bCs/>
          <w:iCs/>
        </w:rPr>
        <w:t xml:space="preserve">к тяжелым производственным травмам (с </w:t>
      </w:r>
      <w:r w:rsidR="00687A91" w:rsidRPr="009A3EFA">
        <w:rPr>
          <w:bCs/>
          <w:iCs/>
        </w:rPr>
        <w:t>10</w:t>
      </w:r>
      <w:r w:rsidRPr="009A3EFA">
        <w:rPr>
          <w:bCs/>
          <w:iCs/>
        </w:rPr>
        <w:t xml:space="preserve"> случаев до </w:t>
      </w:r>
      <w:r w:rsidR="002859D3" w:rsidRPr="009A3EFA">
        <w:rPr>
          <w:bCs/>
          <w:iCs/>
        </w:rPr>
        <w:t>1</w:t>
      </w:r>
      <w:r w:rsidR="009A3EFA" w:rsidRPr="009A3EFA">
        <w:rPr>
          <w:bCs/>
          <w:iCs/>
        </w:rPr>
        <w:t>5</w:t>
      </w:r>
      <w:r w:rsidR="00687A91" w:rsidRPr="009A3EFA">
        <w:rPr>
          <w:bCs/>
          <w:iCs/>
        </w:rPr>
        <w:t>);</w:t>
      </w:r>
    </w:p>
    <w:p w:rsidR="00687A91" w:rsidRPr="009A3EFA" w:rsidRDefault="00687A91" w:rsidP="00D14732">
      <w:pPr>
        <w:ind w:firstLine="709"/>
        <w:jc w:val="both"/>
        <w:rPr>
          <w:bCs/>
          <w:iCs/>
        </w:rPr>
      </w:pPr>
      <w:r w:rsidRPr="009A3EFA">
        <w:rPr>
          <w:bCs/>
          <w:iCs/>
        </w:rPr>
        <w:t xml:space="preserve">количества несчастных случаев в состоянии алкогольного опьянения </w:t>
      </w:r>
      <w:r w:rsidRPr="009A3EFA">
        <w:rPr>
          <w:bCs/>
          <w:iCs/>
        </w:rPr>
        <w:br/>
        <w:t>(с 0 до 1)</w:t>
      </w:r>
      <w:r w:rsidR="009A3EFA">
        <w:rPr>
          <w:bCs/>
          <w:iCs/>
        </w:rPr>
        <w:t>.</w:t>
      </w:r>
    </w:p>
    <w:p w:rsidR="00470B7A" w:rsidRPr="009A3EFA" w:rsidRDefault="00470B7A" w:rsidP="00D14732">
      <w:pPr>
        <w:ind w:firstLine="709"/>
        <w:jc w:val="both"/>
        <w:rPr>
          <w:bCs/>
          <w:iCs/>
          <w:u w:val="single"/>
        </w:rPr>
      </w:pPr>
      <w:r w:rsidRPr="009A3EFA">
        <w:rPr>
          <w:bCs/>
          <w:iCs/>
          <w:u w:val="single"/>
        </w:rPr>
        <w:t>Отмечено снижение</w:t>
      </w:r>
      <w:r w:rsidRPr="009A3EFA">
        <w:rPr>
          <w:bCs/>
          <w:iCs/>
        </w:rPr>
        <w:t xml:space="preserve"> </w:t>
      </w:r>
      <w:r w:rsidRPr="009A3EFA">
        <w:rPr>
          <w:rFonts w:eastAsia="Calibri"/>
          <w:bCs/>
          <w:iCs/>
          <w:lang w:val="be-BY" w:eastAsia="en-US"/>
        </w:rPr>
        <w:t xml:space="preserve">несчастных случаев, </w:t>
      </w:r>
      <w:r w:rsidRPr="009A3EFA">
        <w:rPr>
          <w:rFonts w:eastAsia="Calibri"/>
          <w:bCs/>
          <w:iCs/>
          <w:lang w:eastAsia="en-US"/>
        </w:rPr>
        <w:t xml:space="preserve">относящихся к тяжелым производственным травмам (с </w:t>
      </w:r>
      <w:r w:rsidR="00687A91" w:rsidRPr="009A3EFA">
        <w:rPr>
          <w:rFonts w:eastAsia="Calibri"/>
          <w:bCs/>
          <w:iCs/>
          <w:lang w:eastAsia="en-US"/>
        </w:rPr>
        <w:t>5</w:t>
      </w:r>
      <w:r w:rsidRPr="009A3EFA">
        <w:rPr>
          <w:rFonts w:eastAsia="Calibri"/>
          <w:bCs/>
          <w:iCs/>
          <w:lang w:eastAsia="en-US"/>
        </w:rPr>
        <w:t xml:space="preserve"> случаев до 2).</w:t>
      </w:r>
    </w:p>
    <w:p w:rsidR="00FD06CB" w:rsidRPr="009A3EFA" w:rsidRDefault="00EB23F7" w:rsidP="000E1407">
      <w:pPr>
        <w:ind w:firstLine="709"/>
        <w:jc w:val="both"/>
        <w:rPr>
          <w:bCs/>
          <w:iCs/>
        </w:rPr>
      </w:pPr>
      <w:r w:rsidRPr="009A3EFA">
        <w:rPr>
          <w:bCs/>
          <w:iCs/>
          <w:lang w:val="be-BY"/>
        </w:rPr>
        <w:t>Несчастных случаев</w:t>
      </w:r>
      <w:r w:rsidR="00D14732" w:rsidRPr="009A3EFA">
        <w:rPr>
          <w:rFonts w:eastAsia="Calibri"/>
          <w:bCs/>
          <w:iCs/>
          <w:lang w:eastAsia="en-US"/>
        </w:rPr>
        <w:t xml:space="preserve"> со смертельным исходом </w:t>
      </w:r>
      <w:r w:rsidR="007E6D05" w:rsidRPr="009A3EFA">
        <w:rPr>
          <w:rFonts w:eastAsia="Calibri"/>
          <w:bCs/>
          <w:iCs/>
          <w:lang w:val="be-BY" w:eastAsia="en-US"/>
        </w:rPr>
        <w:t>не зарегистрировано.</w:t>
      </w:r>
    </w:p>
    <w:p w:rsidR="00213D1A" w:rsidRPr="00837A2B" w:rsidRDefault="00213D1A" w:rsidP="00AF63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837A2B">
        <w:rPr>
          <w:bCs/>
          <w:iCs/>
        </w:rPr>
        <w:t xml:space="preserve">общее </w:t>
      </w:r>
      <w:r w:rsidRPr="00837A2B">
        <w:rPr>
          <w:lang w:val="be-BY"/>
        </w:rPr>
        <w:t xml:space="preserve">количество случаев травмирования и </w:t>
      </w:r>
      <w:r w:rsidRPr="00837A2B">
        <w:rPr>
          <w:bCs/>
          <w:iCs/>
        </w:rPr>
        <w:t>удельный вес потерпевших,</w:t>
      </w:r>
      <w:r w:rsidRPr="00837A2B">
        <w:rPr>
          <w:lang w:val="be-BY"/>
        </w:rPr>
        <w:t xml:space="preserve"> </w:t>
      </w:r>
      <w:r w:rsidRPr="00837A2B">
        <w:rPr>
          <w:bCs/>
          <w:iCs/>
        </w:rPr>
        <w:t xml:space="preserve">получивших производственные травмы в </w:t>
      </w:r>
      <w:r w:rsidRPr="00837A2B">
        <w:rPr>
          <w:b/>
          <w:bCs/>
          <w:i/>
          <w:iCs/>
        </w:rPr>
        <w:t>строительных</w:t>
      </w:r>
      <w:r w:rsidR="005B4878" w:rsidRPr="00837A2B">
        <w:rPr>
          <w:bCs/>
          <w:iCs/>
        </w:rPr>
        <w:t xml:space="preserve"> </w:t>
      </w:r>
      <w:r w:rsidRPr="00837A2B">
        <w:rPr>
          <w:bCs/>
          <w:iCs/>
        </w:rPr>
        <w:t xml:space="preserve">организациях сократилось </w:t>
      </w:r>
      <w:r w:rsidRPr="00837A2B">
        <w:rPr>
          <w:lang w:val="be-BY"/>
        </w:rPr>
        <w:t xml:space="preserve">с </w:t>
      </w:r>
      <w:r w:rsidR="00903F9D" w:rsidRPr="00837A2B">
        <w:rPr>
          <w:lang w:val="be-BY"/>
        </w:rPr>
        <w:t>5</w:t>
      </w:r>
      <w:r w:rsidRPr="00837A2B">
        <w:rPr>
          <w:bCs/>
          <w:iCs/>
        </w:rPr>
        <w:t xml:space="preserve"> случаев (</w:t>
      </w:r>
      <w:r w:rsidR="000C0D94" w:rsidRPr="00837A2B">
        <w:rPr>
          <w:bCs/>
          <w:iCs/>
        </w:rPr>
        <w:t>14,7</w:t>
      </w:r>
      <w:r w:rsidR="00A07E68" w:rsidRPr="00837A2B">
        <w:rPr>
          <w:bCs/>
          <w:iCs/>
        </w:rPr>
        <w:t> </w:t>
      </w:r>
      <w:r w:rsidRPr="00837A2B">
        <w:rPr>
          <w:bCs/>
          <w:iCs/>
        </w:rPr>
        <w:t xml:space="preserve">%) в 2023 г.  до </w:t>
      </w:r>
      <w:r w:rsidR="002E0D80" w:rsidRPr="00837A2B">
        <w:rPr>
          <w:bCs/>
          <w:iCs/>
        </w:rPr>
        <w:t>0</w:t>
      </w:r>
      <w:r w:rsidRPr="00837A2B">
        <w:rPr>
          <w:bCs/>
          <w:iCs/>
        </w:rPr>
        <w:t xml:space="preserve"> случаев (0</w:t>
      </w:r>
      <w:r w:rsidR="00A07E68" w:rsidRPr="00837A2B">
        <w:rPr>
          <w:bCs/>
          <w:iCs/>
        </w:rPr>
        <w:t> </w:t>
      </w:r>
      <w:r w:rsidR="002E0D80" w:rsidRPr="00837A2B">
        <w:rPr>
          <w:bCs/>
          <w:iCs/>
        </w:rPr>
        <w:t>%) в 2024</w:t>
      </w:r>
      <w:r w:rsidRPr="00837A2B">
        <w:rPr>
          <w:bCs/>
          <w:iCs/>
        </w:rPr>
        <w:t xml:space="preserve"> г., из которых, </w:t>
      </w:r>
    </w:p>
    <w:p w:rsidR="00213D1A" w:rsidRPr="00837A2B" w:rsidRDefault="00213D1A" w:rsidP="00213D1A">
      <w:pPr>
        <w:ind w:firstLine="567"/>
        <w:jc w:val="both"/>
        <w:rPr>
          <w:bCs/>
          <w:iCs/>
          <w:u w:val="single"/>
        </w:rPr>
      </w:pPr>
      <w:r w:rsidRPr="00837A2B">
        <w:rPr>
          <w:bCs/>
          <w:iCs/>
          <w:u w:val="single"/>
        </w:rPr>
        <w:t>отмечено снижение:</w:t>
      </w:r>
    </w:p>
    <w:p w:rsidR="00220929" w:rsidRPr="00837A2B" w:rsidRDefault="00220929" w:rsidP="00220929">
      <w:pPr>
        <w:ind w:firstLine="567"/>
        <w:jc w:val="both"/>
        <w:rPr>
          <w:bCs/>
          <w:iCs/>
          <w:u w:val="single"/>
        </w:rPr>
      </w:pPr>
      <w:r w:rsidRPr="00837A2B">
        <w:rPr>
          <w:bCs/>
          <w:iCs/>
        </w:rPr>
        <w:t xml:space="preserve">количества несчастных случаев с тяжелым исходом с </w:t>
      </w:r>
      <w:r w:rsidR="00903F9D" w:rsidRPr="00837A2B">
        <w:rPr>
          <w:bCs/>
          <w:iCs/>
        </w:rPr>
        <w:t>2</w:t>
      </w:r>
      <w:r w:rsidRPr="00837A2B">
        <w:rPr>
          <w:bCs/>
          <w:iCs/>
        </w:rPr>
        <w:t xml:space="preserve"> случаев до 0; </w:t>
      </w:r>
    </w:p>
    <w:p w:rsidR="00213D1A" w:rsidRPr="00837A2B" w:rsidRDefault="00213D1A" w:rsidP="00213D1A">
      <w:pPr>
        <w:ind w:firstLine="567"/>
        <w:jc w:val="both"/>
        <w:rPr>
          <w:bCs/>
          <w:iCs/>
        </w:rPr>
      </w:pPr>
      <w:r w:rsidRPr="00837A2B">
        <w:rPr>
          <w:bCs/>
          <w:iCs/>
        </w:rPr>
        <w:t xml:space="preserve">количества несчастных случаев, не относящихся к тяжелым производственным травмам (с </w:t>
      </w:r>
      <w:r w:rsidR="005B4878" w:rsidRPr="00837A2B">
        <w:rPr>
          <w:bCs/>
          <w:iCs/>
        </w:rPr>
        <w:t xml:space="preserve">3 </w:t>
      </w:r>
      <w:r w:rsidRPr="00837A2B">
        <w:rPr>
          <w:bCs/>
          <w:iCs/>
        </w:rPr>
        <w:t xml:space="preserve">случаев до </w:t>
      </w:r>
      <w:r w:rsidR="009748D6" w:rsidRPr="00837A2B">
        <w:rPr>
          <w:bCs/>
          <w:iCs/>
        </w:rPr>
        <w:t>0</w:t>
      </w:r>
      <w:r w:rsidRPr="00837A2B">
        <w:rPr>
          <w:bCs/>
          <w:iCs/>
        </w:rPr>
        <w:t xml:space="preserve">). </w:t>
      </w:r>
    </w:p>
    <w:p w:rsidR="00213D1A" w:rsidRPr="00837A2B" w:rsidRDefault="002E0D80" w:rsidP="002C3103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837A2B">
        <w:rPr>
          <w:bCs/>
          <w:iCs/>
        </w:rPr>
        <w:t xml:space="preserve">Несчастных случаев </w:t>
      </w:r>
      <w:r w:rsidR="009748D6" w:rsidRPr="00837A2B">
        <w:rPr>
          <w:rFonts w:eastAsia="Calibri"/>
          <w:bCs/>
          <w:iCs/>
          <w:lang w:eastAsia="en-US"/>
        </w:rPr>
        <w:t xml:space="preserve">со смертельным исходом, </w:t>
      </w:r>
      <w:r w:rsidR="00E47FBD" w:rsidRPr="00837A2B">
        <w:rPr>
          <w:bCs/>
          <w:iCs/>
        </w:rPr>
        <w:t>а</w:t>
      </w:r>
      <w:r w:rsidR="00A72058" w:rsidRPr="00837A2B">
        <w:rPr>
          <w:rFonts w:eastAsia="Calibri"/>
          <w:bCs/>
          <w:iCs/>
          <w:lang w:eastAsia="en-US"/>
        </w:rPr>
        <w:t xml:space="preserve"> также </w:t>
      </w:r>
      <w:r w:rsidR="00213D1A" w:rsidRPr="00837A2B">
        <w:rPr>
          <w:bCs/>
          <w:iCs/>
          <w:lang w:val="be-BY"/>
        </w:rPr>
        <w:t>в состоянии алкогольного опьянения не зарегистрировано.</w:t>
      </w:r>
    </w:p>
    <w:p w:rsidR="002C2497" w:rsidRPr="00837A2B" w:rsidRDefault="009748D6" w:rsidP="00FD0AA4">
      <w:pPr>
        <w:pStyle w:val="a5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837A2B">
        <w:rPr>
          <w:bCs/>
          <w:iCs/>
        </w:rPr>
        <w:t xml:space="preserve">общее </w:t>
      </w:r>
      <w:r w:rsidRPr="00837A2B">
        <w:rPr>
          <w:lang w:val="be-BY"/>
        </w:rPr>
        <w:t xml:space="preserve">количество случаев травмирования и </w:t>
      </w:r>
      <w:r w:rsidRPr="00837A2B">
        <w:rPr>
          <w:bCs/>
          <w:iCs/>
        </w:rPr>
        <w:t>удельный вес потерпевших,</w:t>
      </w:r>
      <w:r w:rsidRPr="00837A2B">
        <w:rPr>
          <w:lang w:val="be-BY"/>
        </w:rPr>
        <w:t xml:space="preserve"> </w:t>
      </w:r>
      <w:r w:rsidRPr="00837A2B">
        <w:rPr>
          <w:bCs/>
          <w:iCs/>
        </w:rPr>
        <w:t xml:space="preserve">получивших производственные травмы </w:t>
      </w:r>
      <w:r w:rsidR="00DF1875" w:rsidRPr="00837A2B">
        <w:rPr>
          <w:bCs/>
          <w:iCs/>
        </w:rPr>
        <w:t xml:space="preserve">в </w:t>
      </w:r>
      <w:r w:rsidR="00DF1875" w:rsidRPr="00837A2B">
        <w:rPr>
          <w:b/>
          <w:bCs/>
          <w:i/>
          <w:iCs/>
        </w:rPr>
        <w:t xml:space="preserve">организациях </w:t>
      </w:r>
      <w:r w:rsidR="00245CC3" w:rsidRPr="00837A2B">
        <w:rPr>
          <w:b/>
          <w:bCs/>
          <w:i/>
          <w:iCs/>
        </w:rPr>
        <w:t>промышленности</w:t>
      </w:r>
      <w:r w:rsidR="00245CC3" w:rsidRPr="00837A2B">
        <w:rPr>
          <w:bCs/>
          <w:iCs/>
        </w:rPr>
        <w:t xml:space="preserve"> сократилось </w:t>
      </w:r>
      <w:r w:rsidR="00245CC3" w:rsidRPr="00837A2B">
        <w:rPr>
          <w:lang w:val="be-BY"/>
        </w:rPr>
        <w:t xml:space="preserve">с </w:t>
      </w:r>
      <w:r w:rsidR="002C3103" w:rsidRPr="00837A2B">
        <w:rPr>
          <w:bCs/>
          <w:iCs/>
        </w:rPr>
        <w:t>9</w:t>
      </w:r>
      <w:r w:rsidR="00245CC3" w:rsidRPr="00837A2B">
        <w:rPr>
          <w:bCs/>
          <w:iCs/>
        </w:rPr>
        <w:t xml:space="preserve"> случа</w:t>
      </w:r>
      <w:r w:rsidR="00FD0AA4" w:rsidRPr="00837A2B">
        <w:rPr>
          <w:bCs/>
          <w:iCs/>
        </w:rPr>
        <w:t>ев</w:t>
      </w:r>
      <w:r w:rsidR="00245CC3" w:rsidRPr="00837A2B">
        <w:rPr>
          <w:bCs/>
          <w:iCs/>
        </w:rPr>
        <w:t xml:space="preserve"> (</w:t>
      </w:r>
      <w:r w:rsidR="002C3103" w:rsidRPr="00837A2B">
        <w:rPr>
          <w:bCs/>
          <w:iCs/>
        </w:rPr>
        <w:t>26,4</w:t>
      </w:r>
      <w:r w:rsidR="00A07E68" w:rsidRPr="00837A2B">
        <w:rPr>
          <w:bCs/>
          <w:iCs/>
        </w:rPr>
        <w:t> </w:t>
      </w:r>
      <w:r w:rsidR="00245CC3" w:rsidRPr="00837A2B">
        <w:rPr>
          <w:bCs/>
          <w:iCs/>
        </w:rPr>
        <w:t xml:space="preserve">%) в </w:t>
      </w:r>
      <w:r w:rsidR="00A07E68" w:rsidRPr="00837A2B">
        <w:rPr>
          <w:bCs/>
          <w:iCs/>
        </w:rPr>
        <w:t xml:space="preserve">2023 г.  до </w:t>
      </w:r>
      <w:r w:rsidR="001E4895" w:rsidRPr="00837A2B">
        <w:rPr>
          <w:bCs/>
          <w:iCs/>
        </w:rPr>
        <w:t>1</w:t>
      </w:r>
      <w:r w:rsidR="00A07E68" w:rsidRPr="00837A2B">
        <w:rPr>
          <w:bCs/>
          <w:iCs/>
        </w:rPr>
        <w:t xml:space="preserve"> случа</w:t>
      </w:r>
      <w:r w:rsidR="001E4895" w:rsidRPr="00837A2B">
        <w:rPr>
          <w:bCs/>
          <w:iCs/>
        </w:rPr>
        <w:t>я</w:t>
      </w:r>
      <w:r w:rsidR="00A07E68" w:rsidRPr="00837A2B">
        <w:rPr>
          <w:bCs/>
          <w:iCs/>
        </w:rPr>
        <w:t xml:space="preserve"> (</w:t>
      </w:r>
      <w:r w:rsidR="00DA21D9" w:rsidRPr="00837A2B">
        <w:rPr>
          <w:bCs/>
          <w:iCs/>
        </w:rPr>
        <w:t>3,9</w:t>
      </w:r>
      <w:r w:rsidR="00A07E68" w:rsidRPr="00837A2B">
        <w:rPr>
          <w:bCs/>
          <w:iCs/>
        </w:rPr>
        <w:t> </w:t>
      </w:r>
      <w:r w:rsidR="00245CC3" w:rsidRPr="00837A2B">
        <w:rPr>
          <w:bCs/>
          <w:iCs/>
        </w:rPr>
        <w:t>%) в 2024</w:t>
      </w:r>
      <w:r w:rsidR="002C2497" w:rsidRPr="00837A2B">
        <w:rPr>
          <w:bCs/>
          <w:iCs/>
        </w:rPr>
        <w:t xml:space="preserve"> г., из которых, </w:t>
      </w:r>
    </w:p>
    <w:p w:rsidR="002C2497" w:rsidRPr="00837A2B" w:rsidRDefault="002C2497" w:rsidP="002C2497">
      <w:pPr>
        <w:ind w:firstLine="567"/>
        <w:jc w:val="both"/>
        <w:rPr>
          <w:bCs/>
          <w:iCs/>
          <w:u w:val="single"/>
        </w:rPr>
      </w:pPr>
      <w:r w:rsidRPr="00837A2B">
        <w:rPr>
          <w:bCs/>
          <w:iCs/>
          <w:u w:val="single"/>
        </w:rPr>
        <w:t>отмечено снижение:</w:t>
      </w:r>
    </w:p>
    <w:p w:rsidR="00534C07" w:rsidRPr="00837A2B" w:rsidRDefault="00534C07" w:rsidP="00534C07">
      <w:pPr>
        <w:ind w:firstLine="567"/>
        <w:jc w:val="both"/>
        <w:rPr>
          <w:bCs/>
          <w:iCs/>
          <w:u w:val="single"/>
        </w:rPr>
      </w:pPr>
      <w:r w:rsidRPr="00837A2B">
        <w:rPr>
          <w:bCs/>
          <w:iCs/>
        </w:rPr>
        <w:t xml:space="preserve">количества несчастных случаев с тяжелым исходом с </w:t>
      </w:r>
      <w:r w:rsidR="00893A2D" w:rsidRPr="00837A2B">
        <w:rPr>
          <w:bCs/>
          <w:iCs/>
        </w:rPr>
        <w:t>5</w:t>
      </w:r>
      <w:r w:rsidRPr="00837A2B">
        <w:rPr>
          <w:bCs/>
          <w:iCs/>
        </w:rPr>
        <w:t xml:space="preserve"> случаев до 0</w:t>
      </w:r>
      <w:r w:rsidR="00C57C0D" w:rsidRPr="00837A2B">
        <w:rPr>
          <w:bCs/>
          <w:iCs/>
        </w:rPr>
        <w:t>, в том числе в состоянии алкогольного опьянения – с 1 до 0</w:t>
      </w:r>
      <w:r w:rsidRPr="00837A2B">
        <w:rPr>
          <w:bCs/>
          <w:iCs/>
        </w:rPr>
        <w:t xml:space="preserve">; </w:t>
      </w:r>
    </w:p>
    <w:p w:rsidR="002C2497" w:rsidRPr="00837A2B" w:rsidRDefault="002C2497" w:rsidP="002C2497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837A2B">
        <w:rPr>
          <w:bCs/>
          <w:iCs/>
        </w:rPr>
        <w:t xml:space="preserve">количества несчастных случаев, не относящихся к тяжелым производственным травмам (с </w:t>
      </w:r>
      <w:r w:rsidR="00DA21D9" w:rsidRPr="00837A2B">
        <w:rPr>
          <w:bCs/>
          <w:iCs/>
        </w:rPr>
        <w:t>4</w:t>
      </w:r>
      <w:r w:rsidR="005A30DD">
        <w:rPr>
          <w:bCs/>
          <w:iCs/>
        </w:rPr>
        <w:t xml:space="preserve"> </w:t>
      </w:r>
      <w:r w:rsidR="005A30DD" w:rsidRPr="00D30871">
        <w:rPr>
          <w:bCs/>
          <w:iCs/>
        </w:rPr>
        <w:t>случаев</w:t>
      </w:r>
      <w:r w:rsidRPr="00837A2B">
        <w:rPr>
          <w:bCs/>
          <w:iCs/>
        </w:rPr>
        <w:t xml:space="preserve"> до </w:t>
      </w:r>
      <w:r w:rsidR="001E4895" w:rsidRPr="00837A2B">
        <w:rPr>
          <w:bCs/>
          <w:iCs/>
        </w:rPr>
        <w:t>1</w:t>
      </w:r>
      <w:r w:rsidRPr="00837A2B">
        <w:rPr>
          <w:bCs/>
          <w:iCs/>
        </w:rPr>
        <w:t xml:space="preserve">). </w:t>
      </w:r>
    </w:p>
    <w:p w:rsidR="00FE3C31" w:rsidRPr="00837A2B" w:rsidRDefault="00FE3C31" w:rsidP="00FE3C31">
      <w:pPr>
        <w:ind w:firstLine="708"/>
        <w:jc w:val="both"/>
        <w:rPr>
          <w:bCs/>
          <w:iCs/>
          <w:lang w:val="be-BY"/>
        </w:rPr>
      </w:pPr>
      <w:r w:rsidRPr="00837A2B">
        <w:rPr>
          <w:bCs/>
          <w:iCs/>
        </w:rPr>
        <w:t xml:space="preserve">Несчастных случаев </w:t>
      </w:r>
      <w:r w:rsidRPr="00837A2B">
        <w:rPr>
          <w:rFonts w:eastAsia="Calibri"/>
          <w:bCs/>
          <w:iCs/>
          <w:lang w:eastAsia="en-US"/>
        </w:rPr>
        <w:t xml:space="preserve">со смертельным исходом, </w:t>
      </w:r>
      <w:r w:rsidRPr="00837A2B">
        <w:rPr>
          <w:bCs/>
          <w:iCs/>
        </w:rPr>
        <w:t xml:space="preserve">с тяжелым </w:t>
      </w:r>
      <w:r w:rsidR="00457A45" w:rsidRPr="00837A2B">
        <w:rPr>
          <w:bCs/>
          <w:iCs/>
        </w:rPr>
        <w:t xml:space="preserve">исходом, </w:t>
      </w:r>
      <w:r w:rsidR="00457A45" w:rsidRPr="00837A2B">
        <w:rPr>
          <w:bCs/>
          <w:iCs/>
        </w:rPr>
        <w:br/>
        <w:t>а</w:t>
      </w:r>
      <w:r w:rsidRPr="00837A2B">
        <w:rPr>
          <w:rFonts w:eastAsia="Calibri"/>
          <w:bCs/>
          <w:iCs/>
          <w:lang w:eastAsia="en-US"/>
        </w:rPr>
        <w:t xml:space="preserve"> также н</w:t>
      </w:r>
      <w:r w:rsidRPr="00837A2B">
        <w:rPr>
          <w:bCs/>
          <w:iCs/>
          <w:lang w:val="be-BY"/>
        </w:rPr>
        <w:t>есчастных случаев в состоянии алкогольного опьянения не зарегистрировано.</w:t>
      </w:r>
    </w:p>
    <w:p w:rsidR="00005072" w:rsidRPr="00D30871" w:rsidRDefault="006730BA" w:rsidP="00005072">
      <w:pPr>
        <w:pStyle w:val="a5"/>
        <w:numPr>
          <w:ilvl w:val="0"/>
          <w:numId w:val="2"/>
        </w:numPr>
        <w:ind w:left="0" w:firstLine="567"/>
        <w:jc w:val="both"/>
        <w:rPr>
          <w:bCs/>
          <w:iCs/>
          <w:lang w:val="be-BY"/>
        </w:rPr>
      </w:pPr>
      <w:r w:rsidRPr="00D30871">
        <w:rPr>
          <w:bCs/>
          <w:iCs/>
        </w:rPr>
        <w:t xml:space="preserve">общее </w:t>
      </w:r>
      <w:r w:rsidRPr="00D30871">
        <w:rPr>
          <w:lang w:val="be-BY"/>
        </w:rPr>
        <w:t xml:space="preserve">количество случаев травмирования и </w:t>
      </w:r>
      <w:r w:rsidRPr="00D30871">
        <w:rPr>
          <w:bCs/>
          <w:iCs/>
        </w:rPr>
        <w:t>удельный вес потерпевших,</w:t>
      </w:r>
      <w:r w:rsidRPr="00D30871">
        <w:rPr>
          <w:lang w:val="be-BY"/>
        </w:rPr>
        <w:t xml:space="preserve"> </w:t>
      </w:r>
      <w:r w:rsidRPr="00D30871">
        <w:rPr>
          <w:bCs/>
          <w:iCs/>
        </w:rPr>
        <w:t xml:space="preserve">получивших производственные травмы в </w:t>
      </w:r>
      <w:r w:rsidRPr="00D30871">
        <w:rPr>
          <w:b/>
          <w:bCs/>
          <w:i/>
          <w:iCs/>
        </w:rPr>
        <w:t>организациях</w:t>
      </w:r>
      <w:r w:rsidR="001238E2" w:rsidRPr="00D30871">
        <w:rPr>
          <w:bCs/>
          <w:iCs/>
        </w:rPr>
        <w:t xml:space="preserve">, осуществляющих </w:t>
      </w:r>
      <w:r w:rsidR="001238E2" w:rsidRPr="00D30871">
        <w:rPr>
          <w:b/>
          <w:bCs/>
          <w:i/>
          <w:iCs/>
        </w:rPr>
        <w:t>деятельность по снабжению электроэнергией, газом, паром, горячей водой; кондиционирование воздуха</w:t>
      </w:r>
      <w:r w:rsidRPr="00D30871">
        <w:rPr>
          <w:bCs/>
          <w:iCs/>
        </w:rPr>
        <w:t xml:space="preserve"> увеличилось с 0 случаев </w:t>
      </w:r>
      <w:r w:rsidR="00E260CC" w:rsidRPr="00D30871">
        <w:rPr>
          <w:bCs/>
          <w:iCs/>
        </w:rPr>
        <w:t>(0</w:t>
      </w:r>
      <w:r w:rsidR="00A07E68" w:rsidRPr="00D30871">
        <w:rPr>
          <w:bCs/>
          <w:iCs/>
        </w:rPr>
        <w:t> </w:t>
      </w:r>
      <w:r w:rsidR="00E260CC" w:rsidRPr="00D30871">
        <w:rPr>
          <w:bCs/>
          <w:iCs/>
        </w:rPr>
        <w:t xml:space="preserve">%) </w:t>
      </w:r>
      <w:r w:rsidRPr="00D30871">
        <w:rPr>
          <w:bCs/>
          <w:iCs/>
        </w:rPr>
        <w:t xml:space="preserve">в 2023 году </w:t>
      </w:r>
      <w:r w:rsidR="005F1F53" w:rsidRPr="00D30871">
        <w:rPr>
          <w:bCs/>
          <w:iCs/>
        </w:rPr>
        <w:t>до 1 случая (</w:t>
      </w:r>
      <w:r w:rsidR="00AB4C06" w:rsidRPr="00D30871">
        <w:rPr>
          <w:bCs/>
          <w:iCs/>
        </w:rPr>
        <w:t>3,9</w:t>
      </w:r>
      <w:r w:rsidR="00A07E68" w:rsidRPr="00D30871">
        <w:rPr>
          <w:bCs/>
          <w:iCs/>
        </w:rPr>
        <w:t> </w:t>
      </w:r>
      <w:r w:rsidR="00E260CC" w:rsidRPr="00D30871">
        <w:rPr>
          <w:bCs/>
          <w:iCs/>
        </w:rPr>
        <w:t xml:space="preserve">%) </w:t>
      </w:r>
      <w:r w:rsidR="004554D8" w:rsidRPr="00D30871">
        <w:rPr>
          <w:bCs/>
          <w:iCs/>
        </w:rPr>
        <w:t>в 2024 году.</w:t>
      </w:r>
      <w:r w:rsidR="00005072" w:rsidRPr="00D30871">
        <w:rPr>
          <w:bCs/>
          <w:iCs/>
        </w:rPr>
        <w:t xml:space="preserve"> При этом </w:t>
      </w:r>
      <w:r w:rsidR="00005072" w:rsidRPr="00D30871">
        <w:rPr>
          <w:bCs/>
          <w:iCs/>
          <w:u w:val="single"/>
        </w:rPr>
        <w:t>отмечено увеличение</w:t>
      </w:r>
      <w:r w:rsidR="00005072" w:rsidRPr="00D30871">
        <w:rPr>
          <w:bCs/>
          <w:iCs/>
        </w:rPr>
        <w:t xml:space="preserve"> количества </w:t>
      </w:r>
      <w:r w:rsidR="00005072" w:rsidRPr="00D30871">
        <w:rPr>
          <w:bCs/>
          <w:iCs/>
        </w:rPr>
        <w:lastRenderedPageBreak/>
        <w:t xml:space="preserve">несчастных случаев, не относящихся к тяжелым производственным травмам </w:t>
      </w:r>
      <w:r w:rsidR="00AB4C06" w:rsidRPr="00D30871">
        <w:rPr>
          <w:bCs/>
          <w:iCs/>
        </w:rPr>
        <w:br/>
      </w:r>
      <w:r w:rsidR="00005072" w:rsidRPr="00D30871">
        <w:rPr>
          <w:bCs/>
          <w:iCs/>
        </w:rPr>
        <w:t>(с 0 случаев до 1).</w:t>
      </w:r>
    </w:p>
    <w:p w:rsidR="00005072" w:rsidRPr="00D30871" w:rsidRDefault="00005072" w:rsidP="00EB08BA">
      <w:pPr>
        <w:ind w:firstLine="567"/>
        <w:jc w:val="both"/>
        <w:rPr>
          <w:bCs/>
          <w:iCs/>
          <w:lang w:val="be-BY"/>
        </w:rPr>
      </w:pPr>
      <w:r w:rsidRPr="00D30871">
        <w:rPr>
          <w:bCs/>
          <w:iCs/>
        </w:rPr>
        <w:t xml:space="preserve">Несчастных случаев </w:t>
      </w:r>
      <w:r w:rsidRPr="00D30871">
        <w:rPr>
          <w:rFonts w:eastAsia="Calibri"/>
          <w:bCs/>
          <w:iCs/>
          <w:lang w:eastAsia="en-US"/>
        </w:rPr>
        <w:t xml:space="preserve">со смертельным исходом, </w:t>
      </w:r>
      <w:r w:rsidRPr="00D30871">
        <w:rPr>
          <w:bCs/>
          <w:iCs/>
        </w:rPr>
        <w:t xml:space="preserve">с тяжелым исходом, </w:t>
      </w:r>
      <w:r w:rsidRPr="00D30871">
        <w:rPr>
          <w:bCs/>
          <w:iCs/>
        </w:rPr>
        <w:br/>
        <w:t>а</w:t>
      </w:r>
      <w:r w:rsidRPr="00D30871">
        <w:rPr>
          <w:rFonts w:eastAsia="Calibri"/>
          <w:bCs/>
          <w:iCs/>
          <w:lang w:eastAsia="en-US"/>
        </w:rPr>
        <w:t xml:space="preserve"> также </w:t>
      </w:r>
      <w:r w:rsidRPr="00D30871">
        <w:rPr>
          <w:bCs/>
          <w:iCs/>
          <w:lang w:val="be-BY"/>
        </w:rPr>
        <w:t>в состоянии алкогольного опьянения не зарегистрировано.</w:t>
      </w:r>
    </w:p>
    <w:p w:rsidR="001C2DD9" w:rsidRPr="00D30871" w:rsidRDefault="00EB08BA" w:rsidP="00A61ABA">
      <w:pPr>
        <w:pStyle w:val="a5"/>
        <w:numPr>
          <w:ilvl w:val="0"/>
          <w:numId w:val="1"/>
        </w:numPr>
        <w:ind w:left="0" w:firstLine="567"/>
        <w:jc w:val="both"/>
        <w:rPr>
          <w:bCs/>
          <w:iCs/>
        </w:rPr>
      </w:pPr>
      <w:r w:rsidRPr="00D30871">
        <w:rPr>
          <w:bCs/>
          <w:iCs/>
        </w:rPr>
        <w:t xml:space="preserve">общее </w:t>
      </w:r>
      <w:r w:rsidRPr="00D30871">
        <w:rPr>
          <w:lang w:val="be-BY"/>
        </w:rPr>
        <w:t xml:space="preserve">количество случаев травмирования </w:t>
      </w:r>
      <w:r w:rsidR="00A61ABA" w:rsidRPr="00D30871">
        <w:rPr>
          <w:lang w:val="be-BY"/>
        </w:rPr>
        <w:t xml:space="preserve">и </w:t>
      </w:r>
      <w:r w:rsidR="00A61ABA" w:rsidRPr="00D30871">
        <w:rPr>
          <w:bCs/>
          <w:iCs/>
        </w:rPr>
        <w:t>удельный вес потерпевших,</w:t>
      </w:r>
      <w:r w:rsidR="00A61ABA" w:rsidRPr="00D30871">
        <w:rPr>
          <w:lang w:val="be-BY"/>
        </w:rPr>
        <w:t xml:space="preserve"> </w:t>
      </w:r>
      <w:r w:rsidR="00A61ABA" w:rsidRPr="00D30871">
        <w:rPr>
          <w:bCs/>
          <w:iCs/>
        </w:rPr>
        <w:t>получивших производственные травмы в</w:t>
      </w:r>
      <w:r w:rsidRPr="00D30871">
        <w:rPr>
          <w:bCs/>
          <w:iCs/>
        </w:rPr>
        <w:t xml:space="preserve"> </w:t>
      </w:r>
      <w:r w:rsidR="00CE66C0" w:rsidRPr="00D30871">
        <w:rPr>
          <w:bCs/>
          <w:iCs/>
        </w:rPr>
        <w:t xml:space="preserve">организациях, осуществляющих </w:t>
      </w:r>
      <w:r w:rsidR="00CE66C0" w:rsidRPr="00D30871">
        <w:rPr>
          <w:b/>
          <w:bCs/>
          <w:i/>
          <w:iCs/>
        </w:rPr>
        <w:t>прочие виды деятельности</w:t>
      </w:r>
      <w:r w:rsidR="0008642F" w:rsidRPr="00D30871">
        <w:rPr>
          <w:bCs/>
          <w:iCs/>
        </w:rPr>
        <w:t xml:space="preserve"> </w:t>
      </w:r>
      <w:r w:rsidR="0076503E" w:rsidRPr="00D30871">
        <w:rPr>
          <w:bCs/>
          <w:iCs/>
        </w:rPr>
        <w:t xml:space="preserve">увеличилось </w:t>
      </w:r>
      <w:r w:rsidR="00842D65" w:rsidRPr="00D30871">
        <w:rPr>
          <w:bCs/>
          <w:iCs/>
        </w:rPr>
        <w:t>с 5</w:t>
      </w:r>
      <w:r w:rsidR="0076503E" w:rsidRPr="00D30871">
        <w:rPr>
          <w:bCs/>
          <w:iCs/>
        </w:rPr>
        <w:t xml:space="preserve"> случаев (</w:t>
      </w:r>
      <w:r w:rsidR="00D02FB7" w:rsidRPr="00D30871">
        <w:rPr>
          <w:bCs/>
          <w:iCs/>
        </w:rPr>
        <w:t>14,7</w:t>
      </w:r>
      <w:r w:rsidR="002D0A6C" w:rsidRPr="00D30871">
        <w:rPr>
          <w:bCs/>
          <w:iCs/>
        </w:rPr>
        <w:t> %</w:t>
      </w:r>
      <w:r w:rsidR="0076503E" w:rsidRPr="00D30871">
        <w:rPr>
          <w:bCs/>
          <w:iCs/>
        </w:rPr>
        <w:t>)</w:t>
      </w:r>
      <w:r w:rsidR="002D0A6C" w:rsidRPr="00D30871">
        <w:rPr>
          <w:bCs/>
          <w:iCs/>
        </w:rPr>
        <w:t xml:space="preserve"> в 2023 году до </w:t>
      </w:r>
      <w:r w:rsidR="00D30871" w:rsidRPr="00D30871">
        <w:rPr>
          <w:bCs/>
          <w:iCs/>
        </w:rPr>
        <w:t>7</w:t>
      </w:r>
      <w:r w:rsidR="002D0A6C" w:rsidRPr="00D30871">
        <w:rPr>
          <w:bCs/>
          <w:iCs/>
        </w:rPr>
        <w:t xml:space="preserve"> случаев (</w:t>
      </w:r>
      <w:r w:rsidR="00D30871" w:rsidRPr="00D30871">
        <w:rPr>
          <w:bCs/>
          <w:iCs/>
        </w:rPr>
        <w:t>26,9</w:t>
      </w:r>
      <w:r w:rsidR="002D0A6C" w:rsidRPr="00D30871">
        <w:rPr>
          <w:bCs/>
          <w:iCs/>
        </w:rPr>
        <w:t xml:space="preserve"> %) </w:t>
      </w:r>
      <w:r w:rsidR="00F41BFE" w:rsidRPr="00D30871">
        <w:rPr>
          <w:bCs/>
          <w:iCs/>
        </w:rPr>
        <w:t>в 2024 году</w:t>
      </w:r>
      <w:r w:rsidR="006E7D53" w:rsidRPr="00D30871">
        <w:rPr>
          <w:bCs/>
          <w:iCs/>
        </w:rPr>
        <w:t xml:space="preserve">. </w:t>
      </w:r>
    </w:p>
    <w:p w:rsidR="003333C0" w:rsidRPr="005A30DD" w:rsidRDefault="001C2DD9" w:rsidP="001F3DE3">
      <w:pPr>
        <w:pStyle w:val="a5"/>
        <w:ind w:left="0" w:firstLine="567"/>
        <w:jc w:val="both"/>
        <w:rPr>
          <w:rFonts w:eastAsia="Calibri"/>
          <w:bCs/>
          <w:iCs/>
          <w:lang w:val="be-BY" w:eastAsia="en-US"/>
        </w:rPr>
      </w:pPr>
      <w:r w:rsidRPr="005A30DD">
        <w:rPr>
          <w:bCs/>
          <w:iCs/>
        </w:rPr>
        <w:t xml:space="preserve">При этом </w:t>
      </w:r>
      <w:r w:rsidR="006E7D53" w:rsidRPr="005A30DD">
        <w:rPr>
          <w:bCs/>
          <w:iCs/>
          <w:u w:val="single"/>
        </w:rPr>
        <w:t>отмечено увеличение</w:t>
      </w:r>
      <w:r w:rsidR="00D02078" w:rsidRPr="005A30DD">
        <w:rPr>
          <w:bCs/>
          <w:iCs/>
        </w:rPr>
        <w:t xml:space="preserve"> </w:t>
      </w:r>
      <w:r w:rsidR="001F3DE3" w:rsidRPr="005A30DD">
        <w:rPr>
          <w:bCs/>
          <w:iCs/>
        </w:rPr>
        <w:t>к</w:t>
      </w:r>
      <w:r w:rsidR="003333C0" w:rsidRPr="005A30DD">
        <w:rPr>
          <w:bCs/>
          <w:iCs/>
        </w:rPr>
        <w:t>оличеств</w:t>
      </w:r>
      <w:r w:rsidR="001F3DE3" w:rsidRPr="005A30DD">
        <w:rPr>
          <w:bCs/>
          <w:iCs/>
        </w:rPr>
        <w:t>а</w:t>
      </w:r>
      <w:r w:rsidR="003333C0" w:rsidRPr="005A30DD">
        <w:rPr>
          <w:bCs/>
          <w:iCs/>
        </w:rPr>
        <w:t xml:space="preserve"> несчастных случаев, не относящихся к тяжелым производственным травмам</w:t>
      </w:r>
      <w:r w:rsidR="009C6617" w:rsidRPr="005A30DD">
        <w:rPr>
          <w:bCs/>
          <w:iCs/>
        </w:rPr>
        <w:t xml:space="preserve"> </w:t>
      </w:r>
      <w:r w:rsidR="003333C0" w:rsidRPr="005A30DD">
        <w:rPr>
          <w:bCs/>
          <w:iCs/>
        </w:rPr>
        <w:t>(</w:t>
      </w:r>
      <w:r w:rsidR="005A30DD" w:rsidRPr="005A30DD">
        <w:rPr>
          <w:bCs/>
          <w:iCs/>
        </w:rPr>
        <w:t>с 4 случаев до 6)</w:t>
      </w:r>
      <w:r w:rsidR="003333C0" w:rsidRPr="005A30DD">
        <w:rPr>
          <w:bCs/>
          <w:iCs/>
        </w:rPr>
        <w:t>.</w:t>
      </w:r>
    </w:p>
    <w:p w:rsidR="00461CF5" w:rsidRPr="00573AEC" w:rsidRDefault="00593B80" w:rsidP="00461CF5">
      <w:pPr>
        <w:ind w:firstLine="709"/>
        <w:jc w:val="both"/>
        <w:rPr>
          <w:bCs/>
          <w:iCs/>
          <w:lang w:val="be-BY"/>
        </w:rPr>
      </w:pPr>
      <w:r w:rsidRPr="00573AEC">
        <w:rPr>
          <w:bCs/>
          <w:iCs/>
          <w:lang w:val="be-BY"/>
        </w:rPr>
        <w:t>К</w:t>
      </w:r>
      <w:r w:rsidR="00720D46" w:rsidRPr="00573AEC">
        <w:rPr>
          <w:bCs/>
          <w:iCs/>
          <w:lang w:val="be-BY"/>
        </w:rPr>
        <w:t>оличеств</w:t>
      </w:r>
      <w:r w:rsidRPr="00573AEC">
        <w:rPr>
          <w:bCs/>
          <w:iCs/>
          <w:lang w:val="be-BY"/>
        </w:rPr>
        <w:t>о</w:t>
      </w:r>
      <w:r w:rsidR="00720D46" w:rsidRPr="00573AEC">
        <w:rPr>
          <w:bCs/>
          <w:iCs/>
          <w:lang w:val="be-BY"/>
        </w:rPr>
        <w:t xml:space="preserve"> </w:t>
      </w:r>
      <w:r w:rsidR="00720D46" w:rsidRPr="00573AEC">
        <w:rPr>
          <w:rFonts w:eastAsia="Calibri"/>
          <w:bCs/>
          <w:iCs/>
          <w:lang w:eastAsia="en-US"/>
        </w:rPr>
        <w:t>н</w:t>
      </w:r>
      <w:r w:rsidR="00720D46" w:rsidRPr="00573AEC">
        <w:rPr>
          <w:bCs/>
          <w:iCs/>
          <w:lang w:val="be-BY"/>
        </w:rPr>
        <w:t>есчастных случаев</w:t>
      </w:r>
      <w:r w:rsidR="00720D46" w:rsidRPr="00573AEC">
        <w:rPr>
          <w:bCs/>
          <w:iCs/>
        </w:rPr>
        <w:t xml:space="preserve"> с тяжелым исходом</w:t>
      </w:r>
      <w:r w:rsidRPr="00573AEC">
        <w:rPr>
          <w:bCs/>
          <w:iCs/>
        </w:rPr>
        <w:t xml:space="preserve"> осталось на уровне 2023 года</w:t>
      </w:r>
      <w:r w:rsidR="00720D46" w:rsidRPr="00573AEC">
        <w:rPr>
          <w:bCs/>
          <w:iCs/>
        </w:rPr>
        <w:t xml:space="preserve"> (</w:t>
      </w:r>
      <w:r w:rsidRPr="00573AEC">
        <w:rPr>
          <w:bCs/>
          <w:iCs/>
        </w:rPr>
        <w:t>1</w:t>
      </w:r>
      <w:r w:rsidR="00461CF5" w:rsidRPr="00573AEC">
        <w:rPr>
          <w:bCs/>
          <w:iCs/>
        </w:rPr>
        <w:t xml:space="preserve"> случай</w:t>
      </w:r>
      <w:r w:rsidR="00B70E8B" w:rsidRPr="00573AEC">
        <w:rPr>
          <w:bCs/>
          <w:iCs/>
        </w:rPr>
        <w:t>).</w:t>
      </w:r>
    </w:p>
    <w:p w:rsidR="007F5AAC" w:rsidRPr="00573AEC" w:rsidRDefault="008D62DC" w:rsidP="00461CF5">
      <w:pPr>
        <w:ind w:firstLine="709"/>
        <w:jc w:val="both"/>
        <w:rPr>
          <w:bCs/>
          <w:iCs/>
          <w:lang w:val="be-BY"/>
        </w:rPr>
      </w:pPr>
      <w:r w:rsidRPr="00573AEC">
        <w:rPr>
          <w:bCs/>
          <w:iCs/>
          <w:lang w:val="be-BY"/>
        </w:rPr>
        <w:t>Н</w:t>
      </w:r>
      <w:r w:rsidR="007F5AAC" w:rsidRPr="00573AEC">
        <w:rPr>
          <w:bCs/>
          <w:iCs/>
          <w:lang w:val="be-BY"/>
        </w:rPr>
        <w:t xml:space="preserve">есчастных случаев </w:t>
      </w:r>
      <w:r w:rsidR="001F3DE3" w:rsidRPr="00573AEC">
        <w:rPr>
          <w:bCs/>
          <w:iCs/>
        </w:rPr>
        <w:t>со смертельным исходом</w:t>
      </w:r>
      <w:r w:rsidR="001F3DE3" w:rsidRPr="00573AEC">
        <w:rPr>
          <w:bCs/>
          <w:iCs/>
          <w:lang w:val="be-BY"/>
        </w:rPr>
        <w:t xml:space="preserve">  и </w:t>
      </w:r>
      <w:r w:rsidR="007F5AAC" w:rsidRPr="00573AEC">
        <w:rPr>
          <w:bCs/>
          <w:iCs/>
          <w:lang w:val="be-BY"/>
        </w:rPr>
        <w:t>в состоянии алкогольного опьянения не зарегистрировано.</w:t>
      </w:r>
    </w:p>
    <w:p w:rsidR="00573AEC" w:rsidRPr="00E21A28" w:rsidRDefault="00573AEC" w:rsidP="00573AEC">
      <w:pPr>
        <w:ind w:firstLine="709"/>
        <w:jc w:val="both"/>
        <w:rPr>
          <w:bCs/>
          <w:iCs/>
          <w:lang w:val="be-BY"/>
        </w:rPr>
      </w:pPr>
      <w:r w:rsidRPr="00E21A28">
        <w:rPr>
          <w:bCs/>
          <w:iCs/>
          <w:lang w:val="be-BY"/>
        </w:rPr>
        <w:t xml:space="preserve">Больше всего травм получено работниками в организациях коммунальной формы собственности. </w:t>
      </w:r>
    </w:p>
    <w:p w:rsidR="00573AEC" w:rsidRPr="00E21A28" w:rsidRDefault="00573AEC" w:rsidP="00573AEC">
      <w:pPr>
        <w:ind w:firstLine="709"/>
        <w:jc w:val="both"/>
        <w:rPr>
          <w:bCs/>
          <w:iCs/>
        </w:rPr>
      </w:pPr>
      <w:r w:rsidRPr="00E21A28">
        <w:rPr>
          <w:bCs/>
          <w:iCs/>
          <w:lang w:val="be-BY"/>
        </w:rPr>
        <w:t xml:space="preserve">В организациях </w:t>
      </w:r>
      <w:r w:rsidRPr="00E21A28">
        <w:rPr>
          <w:bCs/>
          <w:i/>
          <w:iCs/>
        </w:rPr>
        <w:t xml:space="preserve">коммунальной формы собственности </w:t>
      </w:r>
      <w:r w:rsidRPr="00E21A28">
        <w:rPr>
          <w:bCs/>
          <w:iCs/>
        </w:rPr>
        <w:t xml:space="preserve">пострадало 19 работающих (76 %), из них 2 </w:t>
      </w:r>
      <w:r w:rsidRPr="00E21A28">
        <w:t xml:space="preserve">– </w:t>
      </w:r>
      <w:r w:rsidRPr="00E21A28">
        <w:rPr>
          <w:bCs/>
          <w:iCs/>
        </w:rPr>
        <w:t xml:space="preserve">получили тяжелые производственные травмы. </w:t>
      </w:r>
    </w:p>
    <w:p w:rsidR="00573AEC" w:rsidRPr="00E21A28" w:rsidRDefault="00573AEC" w:rsidP="00573AEC">
      <w:pPr>
        <w:ind w:firstLine="709"/>
        <w:jc w:val="both"/>
        <w:rPr>
          <w:bCs/>
          <w:iCs/>
        </w:rPr>
      </w:pPr>
      <w:r w:rsidRPr="00E21A28">
        <w:rPr>
          <w:bCs/>
          <w:iCs/>
        </w:rPr>
        <w:t xml:space="preserve">В </w:t>
      </w:r>
      <w:r w:rsidRPr="00E21A28">
        <w:rPr>
          <w:bCs/>
          <w:i/>
          <w:iCs/>
        </w:rPr>
        <w:t xml:space="preserve">организациях </w:t>
      </w:r>
      <w:proofErr w:type="spellStart"/>
      <w:r w:rsidRPr="00E21A28">
        <w:rPr>
          <w:bCs/>
          <w:i/>
          <w:iCs/>
        </w:rPr>
        <w:t>безведомственной</w:t>
      </w:r>
      <w:proofErr w:type="spellEnd"/>
      <w:r w:rsidRPr="00E21A28">
        <w:rPr>
          <w:bCs/>
          <w:i/>
          <w:iCs/>
        </w:rPr>
        <w:t xml:space="preserve"> подчиненности</w:t>
      </w:r>
      <w:r w:rsidRPr="00E21A28">
        <w:rPr>
          <w:bCs/>
          <w:iCs/>
        </w:rPr>
        <w:t> пострадало 3 работающих (</w:t>
      </w:r>
      <w:r w:rsidR="00E16D53" w:rsidRPr="00E21A28">
        <w:rPr>
          <w:bCs/>
          <w:iCs/>
        </w:rPr>
        <w:t>12</w:t>
      </w:r>
      <w:r w:rsidRPr="00E21A28">
        <w:rPr>
          <w:bCs/>
          <w:iCs/>
        </w:rPr>
        <w:t xml:space="preserve"> %), из 1</w:t>
      </w:r>
      <w:r w:rsidRPr="00E21A28">
        <w:t>–</w:t>
      </w:r>
      <w:r w:rsidRPr="00E21A28">
        <w:rPr>
          <w:bCs/>
          <w:iCs/>
        </w:rPr>
        <w:t xml:space="preserve"> получил тяжелые производственные травмы. </w:t>
      </w:r>
    </w:p>
    <w:p w:rsidR="00573AEC" w:rsidRPr="00E21A28" w:rsidRDefault="00573AEC" w:rsidP="00573AEC">
      <w:pPr>
        <w:ind w:firstLine="709"/>
        <w:jc w:val="both"/>
        <w:rPr>
          <w:bCs/>
          <w:iCs/>
        </w:rPr>
      </w:pPr>
      <w:r w:rsidRPr="00E21A28">
        <w:rPr>
          <w:bCs/>
          <w:iCs/>
        </w:rPr>
        <w:t xml:space="preserve">В </w:t>
      </w:r>
      <w:r w:rsidRPr="00E21A28">
        <w:rPr>
          <w:bCs/>
          <w:i/>
          <w:iCs/>
        </w:rPr>
        <w:t>организациях</w:t>
      </w:r>
      <w:r w:rsidRPr="00E21A28">
        <w:rPr>
          <w:bCs/>
          <w:iCs/>
        </w:rPr>
        <w:t xml:space="preserve"> </w:t>
      </w:r>
      <w:r w:rsidRPr="00E21A28">
        <w:rPr>
          <w:bCs/>
          <w:i/>
          <w:iCs/>
        </w:rPr>
        <w:t>республиканской формы собственности</w:t>
      </w:r>
      <w:r w:rsidRPr="00E21A28">
        <w:rPr>
          <w:bCs/>
          <w:iCs/>
        </w:rPr>
        <w:t xml:space="preserve"> пострадало </w:t>
      </w:r>
      <w:r w:rsidR="00E21A28" w:rsidRPr="00E21A28">
        <w:rPr>
          <w:bCs/>
          <w:iCs/>
        </w:rPr>
        <w:t>4</w:t>
      </w:r>
      <w:r w:rsidRPr="00E21A28">
        <w:rPr>
          <w:bCs/>
          <w:iCs/>
        </w:rPr>
        <w:t xml:space="preserve"> работающих (</w:t>
      </w:r>
      <w:r w:rsidR="00E21A28" w:rsidRPr="00E21A28">
        <w:rPr>
          <w:bCs/>
          <w:iCs/>
        </w:rPr>
        <w:t>16</w:t>
      </w:r>
      <w:r w:rsidRPr="00E21A28">
        <w:rPr>
          <w:bCs/>
          <w:iCs/>
        </w:rPr>
        <w:t xml:space="preserve"> %) которые </w:t>
      </w:r>
      <w:r w:rsidRPr="00E21A28">
        <w:t>получили травмы, не относящиеся к тяжелым, из них 1 – в состоянии алкогольного опьянения.</w:t>
      </w:r>
    </w:p>
    <w:p w:rsidR="009C66F0" w:rsidRPr="00E21A28" w:rsidRDefault="009C66F0" w:rsidP="009C66F0">
      <w:pPr>
        <w:ind w:firstLine="709"/>
        <w:jc w:val="both"/>
      </w:pPr>
      <w:r w:rsidRPr="00E21A28">
        <w:t>Наиболее значительному риску травмирования подвержены работники сельскохозяйственных организаций.</w:t>
      </w:r>
    </w:p>
    <w:p w:rsidR="00F63E12" w:rsidRPr="00991E4C" w:rsidRDefault="00F609C7" w:rsidP="00F63E12">
      <w:pPr>
        <w:ind w:firstLine="709"/>
        <w:jc w:val="both"/>
        <w:rPr>
          <w:bCs/>
          <w:iCs/>
        </w:rPr>
      </w:pPr>
      <w:r w:rsidRPr="00991E4C">
        <w:rPr>
          <w:bCs/>
          <w:iCs/>
        </w:rPr>
        <w:t>Р</w:t>
      </w:r>
      <w:r w:rsidR="00F63E12" w:rsidRPr="00991E4C">
        <w:rPr>
          <w:bCs/>
          <w:iCs/>
        </w:rPr>
        <w:t xml:space="preserve">аботниками </w:t>
      </w:r>
      <w:r w:rsidR="00F63E12" w:rsidRPr="00991E4C">
        <w:rPr>
          <w:bCs/>
          <w:i/>
          <w:iCs/>
        </w:rPr>
        <w:t>сельскохозяйственных организаций</w:t>
      </w:r>
      <w:r w:rsidR="00F221A3" w:rsidRPr="00991E4C">
        <w:rPr>
          <w:bCs/>
          <w:i/>
          <w:iCs/>
        </w:rPr>
        <w:t xml:space="preserve"> </w:t>
      </w:r>
      <w:r w:rsidR="00F221A3" w:rsidRPr="00991E4C">
        <w:rPr>
          <w:bCs/>
          <w:iCs/>
        </w:rPr>
        <w:t xml:space="preserve">являются </w:t>
      </w:r>
      <w:r w:rsidRPr="00991E4C">
        <w:rPr>
          <w:bCs/>
          <w:iCs/>
        </w:rPr>
        <w:t>1</w:t>
      </w:r>
      <w:r w:rsidR="00E21A28" w:rsidRPr="00991E4C">
        <w:rPr>
          <w:bCs/>
          <w:iCs/>
        </w:rPr>
        <w:t>7</w:t>
      </w:r>
      <w:r w:rsidR="00F221A3" w:rsidRPr="00991E4C">
        <w:rPr>
          <w:bCs/>
          <w:iCs/>
        </w:rPr>
        <w:t xml:space="preserve"> пострадавших</w:t>
      </w:r>
      <w:r w:rsidRPr="00991E4C">
        <w:rPr>
          <w:bCs/>
          <w:iCs/>
        </w:rPr>
        <w:t xml:space="preserve"> (</w:t>
      </w:r>
      <w:r w:rsidR="0071023C" w:rsidRPr="00991E4C">
        <w:rPr>
          <w:bCs/>
          <w:iCs/>
        </w:rPr>
        <w:t xml:space="preserve">в том числе: </w:t>
      </w:r>
      <w:r w:rsidR="00044DCE" w:rsidRPr="00991E4C">
        <w:rPr>
          <w:bCs/>
          <w:iCs/>
        </w:rPr>
        <w:t>2</w:t>
      </w:r>
      <w:r w:rsidR="0071023C" w:rsidRPr="00991E4C">
        <w:rPr>
          <w:bCs/>
          <w:iCs/>
        </w:rPr>
        <w:t xml:space="preserve"> – с тяжелым исходом</w:t>
      </w:r>
      <w:r w:rsidR="00EB50DD" w:rsidRPr="00991E4C">
        <w:rPr>
          <w:bCs/>
          <w:iCs/>
        </w:rPr>
        <w:t xml:space="preserve"> и </w:t>
      </w:r>
      <w:r w:rsidR="00EB50DD" w:rsidRPr="00991E4C">
        <w:t>1 – в состоянии алкогольного опьянения</w:t>
      </w:r>
      <w:r w:rsidRPr="00991E4C">
        <w:rPr>
          <w:bCs/>
          <w:iCs/>
        </w:rPr>
        <w:t>)</w:t>
      </w:r>
      <w:r w:rsidR="00F63E12" w:rsidRPr="00991E4C">
        <w:rPr>
          <w:bCs/>
          <w:iCs/>
        </w:rPr>
        <w:t xml:space="preserve">, </w:t>
      </w:r>
      <w:r w:rsidR="00EB50DD" w:rsidRPr="00991E4C">
        <w:rPr>
          <w:bCs/>
          <w:iCs/>
        </w:rPr>
        <w:t>7</w:t>
      </w:r>
      <w:r w:rsidR="00F63E12" w:rsidRPr="00991E4C">
        <w:rPr>
          <w:bCs/>
          <w:iCs/>
        </w:rPr>
        <w:t xml:space="preserve"> – организаций, осуществляющих </w:t>
      </w:r>
      <w:r w:rsidR="00F63E12" w:rsidRPr="00991E4C">
        <w:rPr>
          <w:bCs/>
          <w:i/>
          <w:iCs/>
        </w:rPr>
        <w:t>прочие виды деятельности</w:t>
      </w:r>
      <w:r w:rsidR="0071023C" w:rsidRPr="00991E4C">
        <w:rPr>
          <w:bCs/>
          <w:i/>
          <w:iCs/>
        </w:rPr>
        <w:t xml:space="preserve"> (</w:t>
      </w:r>
      <w:r w:rsidR="0071023C" w:rsidRPr="00991E4C">
        <w:rPr>
          <w:bCs/>
          <w:iCs/>
        </w:rPr>
        <w:t xml:space="preserve">в том числе: </w:t>
      </w:r>
      <w:r w:rsidR="00044DCE" w:rsidRPr="00991E4C">
        <w:rPr>
          <w:bCs/>
          <w:iCs/>
        </w:rPr>
        <w:t>1</w:t>
      </w:r>
      <w:r w:rsidR="0071023C" w:rsidRPr="00991E4C">
        <w:rPr>
          <w:bCs/>
          <w:iCs/>
        </w:rPr>
        <w:t xml:space="preserve"> – с тяжелым исходом</w:t>
      </w:r>
      <w:r w:rsidR="0071023C" w:rsidRPr="00991E4C">
        <w:rPr>
          <w:bCs/>
          <w:i/>
          <w:iCs/>
        </w:rPr>
        <w:t>)</w:t>
      </w:r>
      <w:r w:rsidR="00F63E12" w:rsidRPr="00991E4C">
        <w:rPr>
          <w:bCs/>
          <w:iCs/>
        </w:rPr>
        <w:t>, 1 – организаци</w:t>
      </w:r>
      <w:r w:rsidR="00991E4C" w:rsidRPr="00991E4C">
        <w:rPr>
          <w:bCs/>
          <w:iCs/>
        </w:rPr>
        <w:t>и</w:t>
      </w:r>
      <w:r w:rsidR="00F63E12" w:rsidRPr="00991E4C">
        <w:rPr>
          <w:bCs/>
          <w:iCs/>
        </w:rPr>
        <w:t>, осуществляющ</w:t>
      </w:r>
      <w:r w:rsidR="00991E4C" w:rsidRPr="00991E4C">
        <w:rPr>
          <w:bCs/>
          <w:iCs/>
        </w:rPr>
        <w:t>ей</w:t>
      </w:r>
      <w:r w:rsidR="00F63E12" w:rsidRPr="00991E4C">
        <w:rPr>
          <w:bCs/>
          <w:iCs/>
        </w:rPr>
        <w:t xml:space="preserve"> </w:t>
      </w:r>
      <w:r w:rsidR="00F63E12" w:rsidRPr="00991E4C">
        <w:rPr>
          <w:bCs/>
          <w:i/>
          <w:iCs/>
        </w:rPr>
        <w:t>деятельность по снабжению электроэнергией, газом, паром, горячей водой; кондиционирование воздуха</w:t>
      </w:r>
      <w:r w:rsidR="00CA2A5E" w:rsidRPr="00991E4C">
        <w:rPr>
          <w:bCs/>
          <w:i/>
          <w:iCs/>
        </w:rPr>
        <w:t xml:space="preserve"> </w:t>
      </w:r>
      <w:r w:rsidR="00CA2A5E" w:rsidRPr="00991E4C">
        <w:rPr>
          <w:bCs/>
          <w:iCs/>
        </w:rPr>
        <w:t xml:space="preserve">и 1 </w:t>
      </w:r>
      <w:r w:rsidR="00266534" w:rsidRPr="00991E4C">
        <w:rPr>
          <w:bCs/>
          <w:iCs/>
        </w:rPr>
        <w:t xml:space="preserve">– </w:t>
      </w:r>
      <w:r w:rsidR="00266534" w:rsidRPr="00991E4C">
        <w:rPr>
          <w:bCs/>
          <w:i/>
          <w:iCs/>
        </w:rPr>
        <w:t>промышленной организации</w:t>
      </w:r>
      <w:r w:rsidR="00567ED1" w:rsidRPr="00991E4C">
        <w:rPr>
          <w:bCs/>
          <w:iCs/>
        </w:rPr>
        <w:t>.</w:t>
      </w:r>
    </w:p>
    <w:p w:rsidR="004C1898" w:rsidRDefault="004C1898" w:rsidP="008C54C0">
      <w:pPr>
        <w:jc w:val="both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47BF526A" wp14:editId="11C991AA">
            <wp:extent cx="5661329" cy="2814762"/>
            <wp:effectExtent l="0" t="0" r="15875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1898" w:rsidRDefault="004C1898" w:rsidP="00F63E12">
      <w:pPr>
        <w:ind w:firstLine="709"/>
        <w:jc w:val="both"/>
        <w:rPr>
          <w:bCs/>
          <w:iCs/>
        </w:rPr>
      </w:pPr>
    </w:p>
    <w:p w:rsidR="009562CA" w:rsidRPr="007B34BA" w:rsidRDefault="009562CA" w:rsidP="009562CA">
      <w:pPr>
        <w:ind w:firstLine="709"/>
        <w:jc w:val="both"/>
        <w:rPr>
          <w:spacing w:val="-4"/>
        </w:rPr>
      </w:pPr>
      <w:r w:rsidRPr="007B34BA">
        <w:rPr>
          <w:spacing w:val="-4"/>
        </w:rPr>
        <w:lastRenderedPageBreak/>
        <w:t xml:space="preserve">Виды происшествий, приведших к </w:t>
      </w:r>
      <w:proofErr w:type="spellStart"/>
      <w:r w:rsidRPr="007B34BA">
        <w:rPr>
          <w:spacing w:val="-4"/>
        </w:rPr>
        <w:t>травмированию</w:t>
      </w:r>
      <w:proofErr w:type="spellEnd"/>
      <w:r w:rsidRPr="007B34BA">
        <w:rPr>
          <w:spacing w:val="-4"/>
        </w:rPr>
        <w:t xml:space="preserve"> работников на производстве (</w:t>
      </w:r>
      <w:r w:rsidR="003642DE" w:rsidRPr="007B34BA">
        <w:rPr>
          <w:spacing w:val="-4"/>
        </w:rPr>
        <w:t>2</w:t>
      </w:r>
      <w:r w:rsidR="00DE579D" w:rsidRPr="007B34BA">
        <w:rPr>
          <w:spacing w:val="-4"/>
        </w:rPr>
        <w:t>5</w:t>
      </w:r>
      <w:r w:rsidRPr="007B34BA">
        <w:rPr>
          <w:spacing w:val="-4"/>
        </w:rPr>
        <w:t xml:space="preserve"> случа</w:t>
      </w:r>
      <w:r w:rsidR="00DE579D" w:rsidRPr="007B34BA">
        <w:rPr>
          <w:spacing w:val="-4"/>
        </w:rPr>
        <w:t>ев</w:t>
      </w:r>
      <w:r w:rsidRPr="007B34BA">
        <w:rPr>
          <w:spacing w:val="-4"/>
        </w:rPr>
        <w:t xml:space="preserve"> из </w:t>
      </w:r>
      <w:r w:rsidR="005002BD" w:rsidRPr="007B34BA">
        <w:rPr>
          <w:spacing w:val="-4"/>
        </w:rPr>
        <w:t>2</w:t>
      </w:r>
      <w:r w:rsidR="003642DE" w:rsidRPr="007B34BA">
        <w:rPr>
          <w:spacing w:val="-4"/>
        </w:rPr>
        <w:t>6</w:t>
      </w:r>
      <w:r w:rsidRPr="007B34BA">
        <w:rPr>
          <w:spacing w:val="-4"/>
        </w:rPr>
        <w:t xml:space="preserve">): </w:t>
      </w:r>
    </w:p>
    <w:p w:rsidR="009562CA" w:rsidRPr="007B34BA" w:rsidRDefault="009562CA" w:rsidP="009562CA">
      <w:pPr>
        <w:ind w:firstLine="709"/>
        <w:jc w:val="both"/>
        <w:rPr>
          <w:spacing w:val="-4"/>
        </w:rPr>
      </w:pPr>
      <w:r w:rsidRPr="007B34BA">
        <w:rPr>
          <w:spacing w:val="-4"/>
        </w:rPr>
        <w:t>воздействие движущихся, разлетающихся, вращающихся предметов, деталей и тому подобное (</w:t>
      </w:r>
      <w:r w:rsidR="001A45E4" w:rsidRPr="007B34BA">
        <w:rPr>
          <w:spacing w:val="-4"/>
        </w:rPr>
        <w:t>6</w:t>
      </w:r>
      <w:r w:rsidRPr="007B34BA">
        <w:rPr>
          <w:i/>
          <w:spacing w:val="-4"/>
        </w:rPr>
        <w:t xml:space="preserve"> случа</w:t>
      </w:r>
      <w:r w:rsidR="0057277B" w:rsidRPr="007B34BA">
        <w:rPr>
          <w:i/>
          <w:spacing w:val="-4"/>
        </w:rPr>
        <w:t>ев</w:t>
      </w:r>
      <w:r w:rsidRPr="007B34BA">
        <w:rPr>
          <w:i/>
          <w:spacing w:val="-4"/>
        </w:rPr>
        <w:t xml:space="preserve"> или </w:t>
      </w:r>
      <w:r w:rsidR="00DE579D" w:rsidRPr="007B34BA">
        <w:rPr>
          <w:i/>
          <w:spacing w:val="-4"/>
        </w:rPr>
        <w:t>24</w:t>
      </w:r>
      <w:r w:rsidRPr="007B34BA">
        <w:rPr>
          <w:i/>
          <w:spacing w:val="-4"/>
        </w:rPr>
        <w:t> %</w:t>
      </w:r>
      <w:r w:rsidRPr="007B34BA">
        <w:rPr>
          <w:spacing w:val="-4"/>
        </w:rPr>
        <w:t>);</w:t>
      </w:r>
    </w:p>
    <w:p w:rsidR="00E76274" w:rsidRPr="007B34BA" w:rsidRDefault="00E76274" w:rsidP="00E76274">
      <w:pPr>
        <w:ind w:firstLine="709"/>
        <w:jc w:val="both"/>
        <w:rPr>
          <w:spacing w:val="-4"/>
        </w:rPr>
      </w:pPr>
      <w:r w:rsidRPr="007B34BA">
        <w:rPr>
          <w:spacing w:val="-4"/>
        </w:rPr>
        <w:t xml:space="preserve">падение потерпевшего во время передвижения </w:t>
      </w:r>
      <w:r w:rsidRPr="007B34BA">
        <w:rPr>
          <w:i/>
          <w:spacing w:val="-4"/>
        </w:rPr>
        <w:t>(4 случая или 16 %);</w:t>
      </w:r>
    </w:p>
    <w:p w:rsidR="005002BD" w:rsidRPr="007B34BA" w:rsidRDefault="005002BD" w:rsidP="005002BD">
      <w:pPr>
        <w:ind w:firstLine="709"/>
        <w:jc w:val="both"/>
        <w:rPr>
          <w:spacing w:val="-4"/>
        </w:rPr>
      </w:pPr>
      <w:r w:rsidRPr="007B34BA">
        <w:rPr>
          <w:spacing w:val="-4"/>
        </w:rPr>
        <w:t>повреждение в результате контакта с животными (</w:t>
      </w:r>
      <w:r w:rsidRPr="007B34BA">
        <w:rPr>
          <w:i/>
          <w:spacing w:val="-4"/>
        </w:rPr>
        <w:t xml:space="preserve">4 случая или </w:t>
      </w:r>
      <w:r w:rsidR="00E76274" w:rsidRPr="007B34BA">
        <w:rPr>
          <w:i/>
          <w:spacing w:val="-4"/>
        </w:rPr>
        <w:t>16</w:t>
      </w:r>
      <w:r w:rsidRPr="007B34BA">
        <w:rPr>
          <w:i/>
          <w:spacing w:val="-4"/>
        </w:rPr>
        <w:t> %</w:t>
      </w:r>
      <w:r w:rsidRPr="007B34BA">
        <w:rPr>
          <w:spacing w:val="-4"/>
        </w:rPr>
        <w:t>);</w:t>
      </w:r>
    </w:p>
    <w:p w:rsidR="00E76274" w:rsidRPr="007B34BA" w:rsidRDefault="00E76274" w:rsidP="005002BD">
      <w:pPr>
        <w:ind w:firstLine="709"/>
        <w:jc w:val="both"/>
        <w:rPr>
          <w:spacing w:val="-4"/>
        </w:rPr>
      </w:pPr>
      <w:r w:rsidRPr="007B34BA">
        <w:rPr>
          <w:spacing w:val="-4"/>
        </w:rPr>
        <w:t>падение потерпевшего с высоты (3</w:t>
      </w:r>
      <w:r w:rsidRPr="007B34BA">
        <w:rPr>
          <w:i/>
          <w:spacing w:val="-4"/>
        </w:rPr>
        <w:t xml:space="preserve"> случая или 12 %</w:t>
      </w:r>
      <w:r w:rsidRPr="007B34BA">
        <w:rPr>
          <w:spacing w:val="-4"/>
        </w:rPr>
        <w:t>);</w:t>
      </w:r>
    </w:p>
    <w:p w:rsidR="00CF70F4" w:rsidRPr="007B34BA" w:rsidRDefault="00CF70F4" w:rsidP="00A17E55">
      <w:pPr>
        <w:ind w:firstLine="709"/>
        <w:jc w:val="both"/>
        <w:rPr>
          <w:spacing w:val="-4"/>
        </w:rPr>
      </w:pPr>
      <w:r w:rsidRPr="007B34BA">
        <w:rPr>
          <w:spacing w:val="-4"/>
        </w:rPr>
        <w:t xml:space="preserve">падение </w:t>
      </w:r>
      <w:r w:rsidR="009452E0" w:rsidRPr="007B34BA">
        <w:rPr>
          <w:spacing w:val="-4"/>
        </w:rPr>
        <w:t xml:space="preserve">потерпевшего </w:t>
      </w:r>
      <w:r w:rsidRPr="007B34BA">
        <w:rPr>
          <w:spacing w:val="-4"/>
        </w:rPr>
        <w:t>(</w:t>
      </w:r>
      <w:r w:rsidRPr="007B34BA">
        <w:rPr>
          <w:i/>
          <w:spacing w:val="-4"/>
        </w:rPr>
        <w:t xml:space="preserve">2 случая или </w:t>
      </w:r>
      <w:r w:rsidR="005736C2" w:rsidRPr="007B34BA">
        <w:rPr>
          <w:i/>
          <w:spacing w:val="-4"/>
        </w:rPr>
        <w:t>8</w:t>
      </w:r>
      <w:r w:rsidRPr="007B34BA">
        <w:rPr>
          <w:i/>
          <w:spacing w:val="-4"/>
        </w:rPr>
        <w:t> %</w:t>
      </w:r>
      <w:r w:rsidR="005F0DF8" w:rsidRPr="007B34BA">
        <w:rPr>
          <w:spacing w:val="-4"/>
        </w:rPr>
        <w:t>);</w:t>
      </w:r>
    </w:p>
    <w:p w:rsidR="009562CA" w:rsidRPr="007B34BA" w:rsidRDefault="00775C89" w:rsidP="006821E1">
      <w:pPr>
        <w:ind w:firstLine="709"/>
        <w:jc w:val="both"/>
        <w:rPr>
          <w:spacing w:val="-4"/>
        </w:rPr>
      </w:pPr>
      <w:r w:rsidRPr="007B34BA">
        <w:rPr>
          <w:spacing w:val="-4"/>
        </w:rPr>
        <w:t>отравление;</w:t>
      </w:r>
      <w:r w:rsidR="006821E1" w:rsidRPr="007B34BA">
        <w:rPr>
          <w:spacing w:val="-4"/>
        </w:rPr>
        <w:t xml:space="preserve"> дорожно-транспортное происшествие</w:t>
      </w:r>
      <w:r w:rsidRPr="007B34BA">
        <w:rPr>
          <w:spacing w:val="-4"/>
        </w:rPr>
        <w:t>; воздействие вредных веществ</w:t>
      </w:r>
      <w:r w:rsidR="003C254E">
        <w:rPr>
          <w:spacing w:val="-4"/>
        </w:rPr>
        <w:t>;</w:t>
      </w:r>
      <w:r w:rsidR="005736C2" w:rsidRPr="007B34BA">
        <w:rPr>
          <w:spacing w:val="-4"/>
        </w:rPr>
        <w:t xml:space="preserve"> воздействие </w:t>
      </w:r>
      <w:r w:rsidR="007B34BA" w:rsidRPr="007B34BA">
        <w:rPr>
          <w:spacing w:val="-4"/>
        </w:rPr>
        <w:t>экстремальных</w:t>
      </w:r>
      <w:r w:rsidR="005736C2" w:rsidRPr="007B34BA">
        <w:rPr>
          <w:spacing w:val="-4"/>
        </w:rPr>
        <w:t xml:space="preserve"> температур</w:t>
      </w:r>
      <w:r w:rsidR="003C254E">
        <w:rPr>
          <w:spacing w:val="-4"/>
        </w:rPr>
        <w:t>;</w:t>
      </w:r>
      <w:r w:rsidR="005F0DF8" w:rsidRPr="007B34BA">
        <w:rPr>
          <w:spacing w:val="-4"/>
        </w:rPr>
        <w:t xml:space="preserve"> пожар</w:t>
      </w:r>
      <w:r w:rsidRPr="007B34BA">
        <w:rPr>
          <w:spacing w:val="-4"/>
        </w:rPr>
        <w:t xml:space="preserve"> и прочие</w:t>
      </w:r>
      <w:r w:rsidR="005F0DF8" w:rsidRPr="007B34BA">
        <w:rPr>
          <w:spacing w:val="-4"/>
        </w:rPr>
        <w:t xml:space="preserve"> (не установлено судом)</w:t>
      </w:r>
      <w:r w:rsidR="006821E1" w:rsidRPr="007B34BA">
        <w:rPr>
          <w:spacing w:val="-4"/>
        </w:rPr>
        <w:t xml:space="preserve"> </w:t>
      </w:r>
      <w:r w:rsidR="006821E1" w:rsidRPr="007B34BA">
        <w:rPr>
          <w:i/>
          <w:spacing w:val="-4"/>
        </w:rPr>
        <w:t xml:space="preserve">(по 1 случаю или </w:t>
      </w:r>
      <w:r w:rsidR="005736C2" w:rsidRPr="007B34BA">
        <w:rPr>
          <w:i/>
          <w:spacing w:val="-4"/>
        </w:rPr>
        <w:t>4</w:t>
      </w:r>
      <w:r w:rsidR="006821E1" w:rsidRPr="007B34BA">
        <w:rPr>
          <w:i/>
          <w:spacing w:val="-4"/>
        </w:rPr>
        <w:t> %).</w:t>
      </w:r>
    </w:p>
    <w:p w:rsidR="008F3894" w:rsidRDefault="008F3894" w:rsidP="00C93A7A">
      <w:pPr>
        <w:jc w:val="both"/>
        <w:rPr>
          <w:spacing w:val="-4"/>
        </w:rPr>
      </w:pPr>
      <w:r>
        <w:rPr>
          <w:noProof/>
          <w:spacing w:val="-4"/>
        </w:rPr>
        <w:drawing>
          <wp:inline distT="0" distB="0" distL="0" distR="0" wp14:anchorId="5318EE63" wp14:editId="7E7E24C0">
            <wp:extent cx="6148655" cy="3200400"/>
            <wp:effectExtent l="0" t="0" r="508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62CA" w:rsidRPr="007E677F" w:rsidRDefault="00107D24" w:rsidP="009562CA">
      <w:pPr>
        <w:ind w:firstLine="709"/>
        <w:jc w:val="both"/>
        <w:rPr>
          <w:spacing w:val="-4"/>
        </w:rPr>
      </w:pPr>
      <w:r w:rsidRPr="007E677F">
        <w:rPr>
          <w:spacing w:val="-4"/>
        </w:rPr>
        <w:t>В</w:t>
      </w:r>
      <w:r w:rsidR="009562CA" w:rsidRPr="007E677F">
        <w:rPr>
          <w:spacing w:val="-4"/>
        </w:rPr>
        <w:t xml:space="preserve"> 2024 год</w:t>
      </w:r>
      <w:r w:rsidRPr="007E677F">
        <w:rPr>
          <w:spacing w:val="-4"/>
        </w:rPr>
        <w:t>у</w:t>
      </w:r>
      <w:r w:rsidR="009562CA" w:rsidRPr="007E677F">
        <w:rPr>
          <w:spacing w:val="-4"/>
        </w:rPr>
        <w:t xml:space="preserve"> производственные травмы получили </w:t>
      </w:r>
      <w:r w:rsidR="007E677F" w:rsidRPr="007E677F">
        <w:rPr>
          <w:spacing w:val="-4"/>
        </w:rPr>
        <w:t>20</w:t>
      </w:r>
      <w:r w:rsidR="00816B84" w:rsidRPr="007E677F">
        <w:rPr>
          <w:spacing w:val="-4"/>
        </w:rPr>
        <w:t xml:space="preserve"> </w:t>
      </w:r>
      <w:r w:rsidR="00CE1283" w:rsidRPr="007E677F">
        <w:rPr>
          <w:spacing w:val="-4"/>
        </w:rPr>
        <w:t>мужчин (</w:t>
      </w:r>
      <w:r w:rsidRPr="007E677F">
        <w:rPr>
          <w:spacing w:val="-4"/>
        </w:rPr>
        <w:t>76</w:t>
      </w:r>
      <w:r w:rsidR="007E677F" w:rsidRPr="007E677F">
        <w:rPr>
          <w:spacing w:val="-4"/>
        </w:rPr>
        <w:t>,9</w:t>
      </w:r>
      <w:r w:rsidR="009562CA" w:rsidRPr="007E677F">
        <w:rPr>
          <w:spacing w:val="-4"/>
        </w:rPr>
        <w:t> </w:t>
      </w:r>
      <w:r w:rsidR="00B73D56" w:rsidRPr="007E677F">
        <w:rPr>
          <w:spacing w:val="-4"/>
        </w:rPr>
        <w:t xml:space="preserve">%) </w:t>
      </w:r>
      <w:r w:rsidR="003F6ECF" w:rsidRPr="007E677F">
        <w:rPr>
          <w:spacing w:val="-4"/>
        </w:rPr>
        <w:br/>
      </w:r>
      <w:r w:rsidR="00B73D56" w:rsidRPr="007E677F">
        <w:rPr>
          <w:spacing w:val="-4"/>
        </w:rPr>
        <w:t>и 6 женщин (</w:t>
      </w:r>
      <w:r w:rsidRPr="007E677F">
        <w:rPr>
          <w:spacing w:val="-4"/>
        </w:rPr>
        <w:t>2</w:t>
      </w:r>
      <w:r w:rsidR="007E677F" w:rsidRPr="007E677F">
        <w:rPr>
          <w:spacing w:val="-4"/>
        </w:rPr>
        <w:t>3,1</w:t>
      </w:r>
      <w:r w:rsidRPr="007E677F">
        <w:rPr>
          <w:spacing w:val="-4"/>
        </w:rPr>
        <w:t> </w:t>
      </w:r>
      <w:r w:rsidR="007E677F" w:rsidRPr="007E677F">
        <w:rPr>
          <w:spacing w:val="-4"/>
        </w:rPr>
        <w:t>%)</w:t>
      </w:r>
      <w:r w:rsidR="009562CA" w:rsidRPr="007E677F">
        <w:rPr>
          <w:spacing w:val="-4"/>
        </w:rPr>
        <w:t xml:space="preserve">. </w:t>
      </w:r>
    </w:p>
    <w:p w:rsidR="009562CA" w:rsidRPr="007E677F" w:rsidRDefault="009562CA" w:rsidP="009562CA">
      <w:pPr>
        <w:ind w:firstLine="709"/>
        <w:jc w:val="both"/>
        <w:rPr>
          <w:spacing w:val="-4"/>
        </w:rPr>
      </w:pPr>
      <w:r w:rsidRPr="007E677F">
        <w:rPr>
          <w:spacing w:val="-4"/>
        </w:rPr>
        <w:t xml:space="preserve">Самый молодой работник получил производственную травму в 21 год, </w:t>
      </w:r>
      <w:r w:rsidRPr="007E677F">
        <w:rPr>
          <w:spacing w:val="-4"/>
        </w:rPr>
        <w:br/>
        <w:t>а самому взрослому работнику 5</w:t>
      </w:r>
      <w:r w:rsidR="000C726E" w:rsidRPr="007E677F">
        <w:rPr>
          <w:spacing w:val="-4"/>
        </w:rPr>
        <w:t>8</w:t>
      </w:r>
      <w:r w:rsidRPr="007E677F">
        <w:rPr>
          <w:spacing w:val="-4"/>
        </w:rPr>
        <w:t xml:space="preserve"> лет.</w:t>
      </w:r>
    </w:p>
    <w:p w:rsidR="00BC77A9" w:rsidRPr="00AB0AC9" w:rsidRDefault="009562CA" w:rsidP="009562CA">
      <w:pPr>
        <w:ind w:firstLine="709"/>
        <w:jc w:val="both"/>
        <w:rPr>
          <w:spacing w:val="-4"/>
        </w:rPr>
      </w:pPr>
      <w:r w:rsidRPr="0047309E">
        <w:rPr>
          <w:spacing w:val="-4"/>
        </w:rPr>
        <w:t>Средний возраст потерпевших – </w:t>
      </w:r>
      <w:r w:rsidR="0047309E" w:rsidRPr="0047309E">
        <w:rPr>
          <w:spacing w:val="-4"/>
        </w:rPr>
        <w:t>41 год</w:t>
      </w:r>
      <w:r w:rsidR="00B81609" w:rsidRPr="0047309E">
        <w:rPr>
          <w:spacing w:val="-4"/>
        </w:rPr>
        <w:t>.</w:t>
      </w:r>
      <w:r w:rsidRPr="0047309E">
        <w:rPr>
          <w:spacing w:val="-4"/>
        </w:rPr>
        <w:t xml:space="preserve"> Среди травмированных наибольшее количество травм получено в</w:t>
      </w:r>
      <w:r w:rsidR="00BC77A9" w:rsidRPr="0047309E">
        <w:rPr>
          <w:spacing w:val="-4"/>
        </w:rPr>
        <w:t xml:space="preserve"> возрастном диапазоне</w:t>
      </w:r>
      <w:r w:rsidR="00DE5C22" w:rsidRPr="0047309E">
        <w:rPr>
          <w:spacing w:val="-4"/>
        </w:rPr>
        <w:t xml:space="preserve"> «от 40 - 44 лет»</w:t>
      </w:r>
      <w:r w:rsidR="0047309E" w:rsidRPr="0047309E">
        <w:rPr>
          <w:spacing w:val="-4"/>
        </w:rPr>
        <w:t xml:space="preserve"> - 7 человек (26,9 </w:t>
      </w:r>
      <w:r w:rsidR="0047309E" w:rsidRPr="00AB0AC9">
        <w:rPr>
          <w:spacing w:val="-4"/>
        </w:rPr>
        <w:t xml:space="preserve">%). </w:t>
      </w:r>
      <w:r w:rsidR="00BC77A9" w:rsidRPr="00AB0AC9">
        <w:rPr>
          <w:spacing w:val="-4"/>
        </w:rPr>
        <w:t>В</w:t>
      </w:r>
      <w:r w:rsidR="00060EE1" w:rsidRPr="00AB0AC9">
        <w:rPr>
          <w:spacing w:val="-4"/>
        </w:rPr>
        <w:t xml:space="preserve"> возраст</w:t>
      </w:r>
      <w:r w:rsidR="00B7458D" w:rsidRPr="00AB0AC9">
        <w:rPr>
          <w:spacing w:val="-4"/>
        </w:rPr>
        <w:t>ных</w:t>
      </w:r>
      <w:r w:rsidR="00060EE1" w:rsidRPr="00AB0AC9">
        <w:rPr>
          <w:spacing w:val="-4"/>
        </w:rPr>
        <w:t xml:space="preserve"> диапазон</w:t>
      </w:r>
      <w:r w:rsidR="00B7458D" w:rsidRPr="00AB0AC9">
        <w:rPr>
          <w:spacing w:val="-4"/>
        </w:rPr>
        <w:t>ах:</w:t>
      </w:r>
      <w:r w:rsidR="00060EE1" w:rsidRPr="00AB0AC9">
        <w:rPr>
          <w:spacing w:val="-4"/>
        </w:rPr>
        <w:t xml:space="preserve"> </w:t>
      </w:r>
      <w:r w:rsidR="0047309E" w:rsidRPr="00AB0AC9">
        <w:rPr>
          <w:spacing w:val="-4"/>
        </w:rPr>
        <w:t xml:space="preserve">«от 45 - 49 лет» - 6 человек (23,1 %) </w:t>
      </w:r>
      <w:r w:rsidR="000E4A36" w:rsidRPr="00AB0AC9">
        <w:rPr>
          <w:spacing w:val="-4"/>
        </w:rPr>
        <w:t>«от 55 - 60 лет» – 5 человек (</w:t>
      </w:r>
      <w:r w:rsidR="0047309E" w:rsidRPr="00AB0AC9">
        <w:rPr>
          <w:spacing w:val="-4"/>
        </w:rPr>
        <w:t>19,2</w:t>
      </w:r>
      <w:r w:rsidR="000E4A36" w:rsidRPr="00AB0AC9">
        <w:rPr>
          <w:spacing w:val="-4"/>
        </w:rPr>
        <w:t xml:space="preserve"> %), </w:t>
      </w:r>
      <w:r w:rsidR="00A57797" w:rsidRPr="00AB0AC9">
        <w:rPr>
          <w:spacing w:val="-4"/>
        </w:rPr>
        <w:t xml:space="preserve">«от 30 до 34» </w:t>
      </w:r>
      <w:r w:rsidR="007A50FB" w:rsidRPr="00AB0AC9">
        <w:rPr>
          <w:spacing w:val="-4"/>
        </w:rPr>
        <w:t>– 4 человека</w:t>
      </w:r>
      <w:r w:rsidR="0047309E" w:rsidRPr="00AB0AC9">
        <w:rPr>
          <w:spacing w:val="-4"/>
        </w:rPr>
        <w:t xml:space="preserve"> (15,4</w:t>
      </w:r>
      <w:r w:rsidR="007A50FB" w:rsidRPr="00AB0AC9">
        <w:rPr>
          <w:spacing w:val="-4"/>
        </w:rPr>
        <w:t xml:space="preserve"> %)</w:t>
      </w:r>
      <w:r w:rsidR="00C56152" w:rsidRPr="00AB0AC9">
        <w:rPr>
          <w:spacing w:val="-4"/>
        </w:rPr>
        <w:t>,</w:t>
      </w:r>
      <w:r w:rsidR="005E50F5" w:rsidRPr="00AB0AC9">
        <w:rPr>
          <w:spacing w:val="-4"/>
        </w:rPr>
        <w:t xml:space="preserve"> «от 20 до 24 года» – 2 человека (</w:t>
      </w:r>
      <w:r w:rsidR="0047309E" w:rsidRPr="00AB0AC9">
        <w:rPr>
          <w:spacing w:val="-4"/>
        </w:rPr>
        <w:t>7,7</w:t>
      </w:r>
      <w:r w:rsidR="00C56152" w:rsidRPr="00AB0AC9">
        <w:rPr>
          <w:spacing w:val="-4"/>
        </w:rPr>
        <w:t xml:space="preserve"> %)</w:t>
      </w:r>
      <w:r w:rsidR="007A50FB" w:rsidRPr="00AB0AC9">
        <w:rPr>
          <w:spacing w:val="-4"/>
        </w:rPr>
        <w:t xml:space="preserve">, </w:t>
      </w:r>
      <w:r w:rsidR="00C56152" w:rsidRPr="00AB0AC9">
        <w:rPr>
          <w:spacing w:val="-4"/>
        </w:rPr>
        <w:t>«от 25 до 29 лет»</w:t>
      </w:r>
      <w:r w:rsidR="007A50FB" w:rsidRPr="00AB0AC9">
        <w:rPr>
          <w:spacing w:val="-4"/>
        </w:rPr>
        <w:t xml:space="preserve"> и</w:t>
      </w:r>
      <w:r w:rsidR="00C56152" w:rsidRPr="00AB0AC9">
        <w:rPr>
          <w:spacing w:val="-4"/>
        </w:rPr>
        <w:t xml:space="preserve"> </w:t>
      </w:r>
      <w:r w:rsidR="007A50FB" w:rsidRPr="00AB0AC9">
        <w:rPr>
          <w:spacing w:val="-4"/>
        </w:rPr>
        <w:t xml:space="preserve">с «от </w:t>
      </w:r>
      <w:r w:rsidR="00AB0AC9" w:rsidRPr="00AB0AC9">
        <w:rPr>
          <w:spacing w:val="-4"/>
        </w:rPr>
        <w:t>35 до 39</w:t>
      </w:r>
      <w:r w:rsidR="00256C64" w:rsidRPr="00AB0AC9">
        <w:rPr>
          <w:spacing w:val="-4"/>
        </w:rPr>
        <w:t xml:space="preserve"> лет</w:t>
      </w:r>
      <w:r w:rsidR="007A50FB" w:rsidRPr="00AB0AC9">
        <w:rPr>
          <w:spacing w:val="-4"/>
        </w:rPr>
        <w:t xml:space="preserve">» </w:t>
      </w:r>
      <w:r w:rsidR="00C56152" w:rsidRPr="00AB0AC9">
        <w:rPr>
          <w:spacing w:val="-4"/>
        </w:rPr>
        <w:t xml:space="preserve">- </w:t>
      </w:r>
      <w:r w:rsidR="00256C64" w:rsidRPr="00AB0AC9">
        <w:rPr>
          <w:spacing w:val="-4"/>
        </w:rPr>
        <w:t>по 1</w:t>
      </w:r>
      <w:r w:rsidR="00C56152" w:rsidRPr="00AB0AC9">
        <w:rPr>
          <w:spacing w:val="-4"/>
        </w:rPr>
        <w:t xml:space="preserve"> человек</w:t>
      </w:r>
      <w:r w:rsidR="00AB0AC9" w:rsidRPr="00AB0AC9">
        <w:rPr>
          <w:spacing w:val="-4"/>
        </w:rPr>
        <w:t>у (3,8</w:t>
      </w:r>
      <w:r w:rsidR="00C56152" w:rsidRPr="00AB0AC9">
        <w:rPr>
          <w:spacing w:val="-4"/>
        </w:rPr>
        <w:t xml:space="preserve"> %)</w:t>
      </w:r>
      <w:r w:rsidR="00256C64" w:rsidRPr="00AB0AC9">
        <w:rPr>
          <w:spacing w:val="-4"/>
        </w:rPr>
        <w:t>.</w:t>
      </w:r>
    </w:p>
    <w:p w:rsidR="009562CA" w:rsidRPr="00B97902" w:rsidRDefault="009562CA" w:rsidP="009562CA">
      <w:pPr>
        <w:ind w:firstLine="709"/>
        <w:jc w:val="both"/>
      </w:pPr>
      <w:r w:rsidRPr="00AB0AC9">
        <w:t xml:space="preserve">Наиболее подвержены </w:t>
      </w:r>
      <w:proofErr w:type="spellStart"/>
      <w:r w:rsidRPr="00AB0AC9">
        <w:t>травмированию</w:t>
      </w:r>
      <w:proofErr w:type="spellEnd"/>
      <w:r w:rsidRPr="00AB0AC9">
        <w:t xml:space="preserve"> работники по профессии животновод (</w:t>
      </w:r>
      <w:r w:rsidR="00AB0AC9" w:rsidRPr="00AB0AC9">
        <w:t>10</w:t>
      </w:r>
      <w:r w:rsidRPr="00AB0AC9">
        <w:t xml:space="preserve"> случаев</w:t>
      </w:r>
      <w:r w:rsidR="007D4B07" w:rsidRPr="00AB0AC9">
        <w:t xml:space="preserve"> или </w:t>
      </w:r>
      <w:r w:rsidR="00AB0AC9" w:rsidRPr="00AB0AC9">
        <w:t>40</w:t>
      </w:r>
      <w:r w:rsidR="001D7FF0" w:rsidRPr="00AB0AC9">
        <w:t> %)</w:t>
      </w:r>
      <w:r w:rsidR="00C75534" w:rsidRPr="00AB0AC9">
        <w:t xml:space="preserve">. </w:t>
      </w:r>
      <w:r w:rsidR="00EE3840" w:rsidRPr="00AB0AC9">
        <w:t xml:space="preserve">Пострадало 3 </w:t>
      </w:r>
      <w:r w:rsidR="00CA5B45" w:rsidRPr="00AB0AC9">
        <w:t>работающих</w:t>
      </w:r>
      <w:r w:rsidR="00995C63" w:rsidRPr="00AB0AC9">
        <w:t xml:space="preserve"> по профессии </w:t>
      </w:r>
      <w:r w:rsidR="00995C63" w:rsidRPr="00B97902">
        <w:t>подсобный</w:t>
      </w:r>
      <w:r w:rsidR="00EE3840" w:rsidRPr="00B97902">
        <w:t xml:space="preserve"> рабочи</w:t>
      </w:r>
      <w:r w:rsidR="00995C63" w:rsidRPr="00B97902">
        <w:t xml:space="preserve">й, </w:t>
      </w:r>
      <w:r w:rsidR="0005156C" w:rsidRPr="00B97902">
        <w:t>причем все</w:t>
      </w:r>
      <w:r w:rsidR="00EE3840" w:rsidRPr="00B97902">
        <w:t xml:space="preserve"> являются </w:t>
      </w:r>
      <w:r w:rsidR="00995C63" w:rsidRPr="00B97902">
        <w:t>работающими</w:t>
      </w:r>
      <w:r w:rsidR="00EE3840" w:rsidRPr="00B97902">
        <w:t xml:space="preserve"> ЛТП № 3. </w:t>
      </w:r>
      <w:r w:rsidR="003F6ECF" w:rsidRPr="00B97902">
        <w:br/>
      </w:r>
      <w:r w:rsidR="0005156C" w:rsidRPr="00B97902">
        <w:t>С</w:t>
      </w:r>
      <w:r w:rsidR="00A278F0" w:rsidRPr="00B97902">
        <w:t xml:space="preserve"> работающими</w:t>
      </w:r>
      <w:r w:rsidR="004505C5" w:rsidRPr="00B97902">
        <w:t xml:space="preserve"> по професси</w:t>
      </w:r>
      <w:r w:rsidR="00995C63" w:rsidRPr="00B97902">
        <w:t>и</w:t>
      </w:r>
      <w:r w:rsidR="00F1308B" w:rsidRPr="00B97902">
        <w:t xml:space="preserve"> слесарь по ремонту сельскохоз</w:t>
      </w:r>
      <w:r w:rsidR="0005156C" w:rsidRPr="00B97902">
        <w:t xml:space="preserve">яйственных машин и </w:t>
      </w:r>
      <w:r w:rsidR="008870C4" w:rsidRPr="00B97902">
        <w:t>оборудования и тракторист-машинист сельскохозяйственного производства</w:t>
      </w:r>
      <w:r w:rsidR="0005156C" w:rsidRPr="00B97902">
        <w:t xml:space="preserve"> произошло </w:t>
      </w:r>
      <w:r w:rsidR="009744C0" w:rsidRPr="00B97902">
        <w:t xml:space="preserve">по </w:t>
      </w:r>
      <w:r w:rsidR="0005156C" w:rsidRPr="00B97902">
        <w:t>2 несчастных случая</w:t>
      </w:r>
      <w:r w:rsidRPr="00B97902">
        <w:t xml:space="preserve">. Также травмы получили работающие в должности инженер-механик и заведующий, а также по профессиям </w:t>
      </w:r>
      <w:r w:rsidR="00B97902" w:rsidRPr="00B97902">
        <w:t xml:space="preserve">водитель автомобиля, </w:t>
      </w:r>
      <w:r w:rsidRPr="00B97902">
        <w:t xml:space="preserve">слесарь по ремонту оборудования тепловых сетей, электромонтер </w:t>
      </w:r>
      <w:r w:rsidR="008870C4" w:rsidRPr="00B97902">
        <w:t>охранной пожарной сигнализации</w:t>
      </w:r>
      <w:r w:rsidRPr="00B97902">
        <w:t>, оператор машинного доения</w:t>
      </w:r>
      <w:r w:rsidR="007D4B07" w:rsidRPr="00B97902">
        <w:t>, оператор сушильных установок</w:t>
      </w:r>
      <w:r w:rsidR="00B97902" w:rsidRPr="00B97902">
        <w:t>, грузчик</w:t>
      </w:r>
      <w:r w:rsidR="007D4B07" w:rsidRPr="00B97902">
        <w:t xml:space="preserve"> и</w:t>
      </w:r>
      <w:r w:rsidR="00B97902" w:rsidRPr="00B97902">
        <w:t xml:space="preserve"> кухонный рабочий</w:t>
      </w:r>
      <w:r w:rsidR="007D4B07" w:rsidRPr="00B97902">
        <w:t xml:space="preserve"> </w:t>
      </w:r>
      <w:r w:rsidRPr="00B97902">
        <w:t>(по 1 случаю).</w:t>
      </w:r>
    </w:p>
    <w:p w:rsidR="0005156C" w:rsidRDefault="009805BB" w:rsidP="009805BB">
      <w:pPr>
        <w:jc w:val="both"/>
      </w:pPr>
      <w:r>
        <w:rPr>
          <w:noProof/>
          <w:spacing w:val="-4"/>
        </w:rPr>
        <w:lastRenderedPageBreak/>
        <w:drawing>
          <wp:inline distT="0" distB="0" distL="0" distR="0" wp14:anchorId="199787FC" wp14:editId="65487E20">
            <wp:extent cx="5963285" cy="3729161"/>
            <wp:effectExtent l="0" t="0" r="1841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6E2C" w:rsidRDefault="006B6E2C" w:rsidP="00FD28B0">
      <w:pPr>
        <w:ind w:firstLine="709"/>
        <w:jc w:val="both"/>
      </w:pPr>
    </w:p>
    <w:p w:rsidR="00FD28B0" w:rsidRPr="00963F21" w:rsidRDefault="00FD28B0" w:rsidP="00FD28B0">
      <w:pPr>
        <w:ind w:firstLine="709"/>
        <w:jc w:val="both"/>
        <w:rPr>
          <w:rFonts w:eastAsia="Calibri"/>
          <w:bCs/>
          <w:iCs/>
          <w:lang w:eastAsia="en-US"/>
        </w:rPr>
      </w:pPr>
      <w:r w:rsidRPr="00963F21">
        <w:t xml:space="preserve">Анализ причин несчастных случаев на производстве, </w:t>
      </w:r>
      <w:r w:rsidRPr="00963F21">
        <w:rPr>
          <w:rFonts w:eastAsia="Calibri"/>
          <w:iCs/>
          <w:lang w:eastAsia="en-US"/>
        </w:rPr>
        <w:t xml:space="preserve">расследование </w:t>
      </w:r>
      <w:r w:rsidRPr="00963F21">
        <w:t>которых завершено</w:t>
      </w:r>
      <w:r w:rsidRPr="00963F21">
        <w:rPr>
          <w:rFonts w:eastAsia="Calibri"/>
          <w:bCs/>
          <w:iCs/>
          <w:lang w:eastAsia="en-US"/>
        </w:rPr>
        <w:t xml:space="preserve"> (</w:t>
      </w:r>
      <w:r w:rsidR="009744C0" w:rsidRPr="00963F21">
        <w:rPr>
          <w:rFonts w:eastAsia="Calibri"/>
          <w:bCs/>
          <w:iCs/>
          <w:lang w:eastAsia="en-US"/>
        </w:rPr>
        <w:t>2</w:t>
      </w:r>
      <w:r w:rsidR="00507C44" w:rsidRPr="00963F21">
        <w:rPr>
          <w:rFonts w:eastAsia="Calibri"/>
          <w:bCs/>
          <w:iCs/>
          <w:lang w:eastAsia="en-US"/>
        </w:rPr>
        <w:t>5</w:t>
      </w:r>
      <w:r w:rsidR="009744C0" w:rsidRPr="00963F21">
        <w:rPr>
          <w:rFonts w:eastAsia="Calibri"/>
          <w:bCs/>
          <w:iCs/>
          <w:lang w:eastAsia="en-US"/>
        </w:rPr>
        <w:t xml:space="preserve"> из 2</w:t>
      </w:r>
      <w:r w:rsidR="00462792" w:rsidRPr="00963F21">
        <w:rPr>
          <w:rFonts w:eastAsia="Calibri"/>
          <w:bCs/>
          <w:iCs/>
          <w:lang w:eastAsia="en-US"/>
        </w:rPr>
        <w:t>6</w:t>
      </w:r>
      <w:r w:rsidRPr="00963F21">
        <w:rPr>
          <w:rFonts w:eastAsia="Calibri"/>
          <w:bCs/>
          <w:iCs/>
          <w:lang w:eastAsia="en-US"/>
        </w:rPr>
        <w:t xml:space="preserve"> случаев) показал, что основными причинами явились: </w:t>
      </w:r>
    </w:p>
    <w:p w:rsidR="00507C44" w:rsidRPr="00963F21" w:rsidRDefault="00507C44" w:rsidP="00507C44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963F21">
        <w:rPr>
          <w:rFonts w:eastAsia="Calibri"/>
          <w:bCs/>
          <w:iCs/>
          <w:lang w:eastAsia="en-US"/>
        </w:rPr>
        <w:t xml:space="preserve">личная неосторожность потерпевшего (в 7 случаях </w:t>
      </w:r>
      <w:r w:rsidR="00152E04" w:rsidRPr="00963F21">
        <w:rPr>
          <w:rFonts w:eastAsia="Calibri"/>
          <w:bCs/>
          <w:iCs/>
          <w:lang w:eastAsia="en-US"/>
        </w:rPr>
        <w:t>(</w:t>
      </w:r>
      <w:r w:rsidR="00152E04" w:rsidRPr="00963F21">
        <w:rPr>
          <w:rFonts w:eastAsia="Calibri"/>
          <w:bCs/>
          <w:i/>
          <w:iCs/>
          <w:lang w:eastAsia="en-US"/>
        </w:rPr>
        <w:t xml:space="preserve">не относятся к тяжелым травмам) </w:t>
      </w:r>
      <w:r w:rsidRPr="00963F21">
        <w:rPr>
          <w:rFonts w:eastAsia="Calibri"/>
          <w:bCs/>
          <w:iCs/>
          <w:lang w:eastAsia="en-US"/>
        </w:rPr>
        <w:t>или 28 %)</w:t>
      </w:r>
      <w:r w:rsidRPr="00963F21">
        <w:rPr>
          <w:rFonts w:eastAsia="Calibri"/>
          <w:bCs/>
          <w:i/>
          <w:iCs/>
          <w:lang w:eastAsia="en-US"/>
        </w:rPr>
        <w:t>;</w:t>
      </w:r>
    </w:p>
    <w:p w:rsidR="00FD28B0" w:rsidRPr="00963F21" w:rsidRDefault="00FD28B0" w:rsidP="00FD28B0">
      <w:pPr>
        <w:ind w:firstLine="709"/>
        <w:jc w:val="both"/>
        <w:rPr>
          <w:rFonts w:eastAsia="Calibri"/>
          <w:bCs/>
          <w:iCs/>
          <w:lang w:eastAsia="en-US"/>
        </w:rPr>
      </w:pPr>
      <w:r w:rsidRPr="00963F21">
        <w:rPr>
          <w:rFonts w:eastAsia="Calibri"/>
          <w:bCs/>
          <w:iCs/>
          <w:lang w:eastAsia="en-US"/>
        </w:rPr>
        <w:t xml:space="preserve">невыполнение руководителями и специалистами обязанностей по охране труда (в </w:t>
      </w:r>
      <w:r w:rsidR="004167F7" w:rsidRPr="00963F21">
        <w:rPr>
          <w:rFonts w:eastAsia="Calibri"/>
          <w:bCs/>
          <w:iCs/>
          <w:lang w:eastAsia="en-US"/>
        </w:rPr>
        <w:t>6</w:t>
      </w:r>
      <w:r w:rsidRPr="00963F21">
        <w:rPr>
          <w:rFonts w:eastAsia="Calibri"/>
          <w:bCs/>
          <w:iCs/>
          <w:lang w:eastAsia="en-US"/>
        </w:rPr>
        <w:t xml:space="preserve"> случаях (</w:t>
      </w:r>
      <w:r w:rsidR="00BF0264" w:rsidRPr="00963F21">
        <w:rPr>
          <w:rFonts w:eastAsia="Calibri"/>
          <w:bCs/>
          <w:i/>
          <w:iCs/>
          <w:lang w:eastAsia="en-US"/>
        </w:rPr>
        <w:t>2 тяжелых</w:t>
      </w:r>
      <w:r w:rsidRPr="00963F21">
        <w:rPr>
          <w:rFonts w:eastAsia="Calibri"/>
          <w:bCs/>
          <w:i/>
          <w:iCs/>
          <w:lang w:eastAsia="en-US"/>
        </w:rPr>
        <w:t xml:space="preserve"> и </w:t>
      </w:r>
      <w:r w:rsidR="00BF0264" w:rsidRPr="00963F21">
        <w:rPr>
          <w:rFonts w:eastAsia="Calibri"/>
          <w:bCs/>
          <w:i/>
          <w:iCs/>
          <w:lang w:eastAsia="en-US"/>
        </w:rPr>
        <w:t>4</w:t>
      </w:r>
      <w:r w:rsidRPr="00963F21">
        <w:rPr>
          <w:rFonts w:eastAsia="Calibri"/>
          <w:bCs/>
          <w:i/>
          <w:iCs/>
          <w:lang w:eastAsia="en-US"/>
        </w:rPr>
        <w:t xml:space="preserve"> не относятся к </w:t>
      </w:r>
      <w:r w:rsidR="00152E04" w:rsidRPr="00963F21">
        <w:rPr>
          <w:rFonts w:eastAsia="Calibri"/>
          <w:bCs/>
          <w:i/>
          <w:iCs/>
          <w:lang w:eastAsia="en-US"/>
        </w:rPr>
        <w:t>тяжелым</w:t>
      </w:r>
      <w:r w:rsidR="00152E04" w:rsidRPr="00963F21">
        <w:rPr>
          <w:rFonts w:eastAsia="Calibri"/>
          <w:bCs/>
          <w:iCs/>
          <w:lang w:eastAsia="en-US"/>
        </w:rPr>
        <w:t>) или</w:t>
      </w:r>
      <w:r w:rsidRPr="00963F21">
        <w:rPr>
          <w:rFonts w:eastAsia="Calibri"/>
          <w:bCs/>
          <w:iCs/>
          <w:lang w:eastAsia="en-US"/>
        </w:rPr>
        <w:t xml:space="preserve"> </w:t>
      </w:r>
      <w:r w:rsidR="005B0257" w:rsidRPr="00963F21">
        <w:rPr>
          <w:rFonts w:eastAsia="Calibri"/>
          <w:bCs/>
          <w:iCs/>
          <w:lang w:eastAsia="en-US"/>
        </w:rPr>
        <w:t>24</w:t>
      </w:r>
      <w:r w:rsidRPr="00963F21">
        <w:rPr>
          <w:rFonts w:eastAsia="Calibri"/>
          <w:bCs/>
          <w:iCs/>
          <w:lang w:eastAsia="en-US"/>
        </w:rPr>
        <w:t> %)</w:t>
      </w:r>
      <w:r w:rsidRPr="00963F21">
        <w:rPr>
          <w:rFonts w:eastAsia="Calibri"/>
          <w:bCs/>
          <w:i/>
          <w:iCs/>
          <w:lang w:eastAsia="en-US"/>
        </w:rPr>
        <w:t>;</w:t>
      </w:r>
    </w:p>
    <w:p w:rsidR="005B0257" w:rsidRPr="00963F21" w:rsidRDefault="005B0257" w:rsidP="005B0257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963F21">
        <w:rPr>
          <w:rFonts w:eastAsia="Calibri"/>
          <w:bCs/>
          <w:iCs/>
          <w:lang w:eastAsia="en-US"/>
        </w:rPr>
        <w:t xml:space="preserve">нарушение потерпевшим требований локальных правовых актов по охране труда (в 5 случаях </w:t>
      </w:r>
      <w:r w:rsidR="00152E04" w:rsidRPr="00963F21">
        <w:rPr>
          <w:rFonts w:eastAsia="Calibri"/>
          <w:bCs/>
          <w:iCs/>
          <w:lang w:eastAsia="en-US"/>
        </w:rPr>
        <w:t>(</w:t>
      </w:r>
      <w:r w:rsidR="00152E04" w:rsidRPr="00963F21">
        <w:rPr>
          <w:rFonts w:eastAsia="Calibri"/>
          <w:bCs/>
          <w:i/>
          <w:iCs/>
          <w:lang w:eastAsia="en-US"/>
        </w:rPr>
        <w:t>не относятся к тяжелым травмам)</w:t>
      </w:r>
      <w:r w:rsidRPr="00963F21">
        <w:rPr>
          <w:rFonts w:eastAsia="Calibri"/>
          <w:bCs/>
          <w:iCs/>
          <w:lang w:eastAsia="en-US"/>
        </w:rPr>
        <w:t xml:space="preserve"> или 20 %)</w:t>
      </w:r>
      <w:r w:rsidR="00152E04" w:rsidRPr="00963F21">
        <w:rPr>
          <w:rFonts w:eastAsia="Calibri"/>
          <w:bCs/>
          <w:iCs/>
          <w:lang w:eastAsia="en-US"/>
        </w:rPr>
        <w:t>;</w:t>
      </w:r>
    </w:p>
    <w:p w:rsidR="00F97459" w:rsidRPr="00963F21" w:rsidRDefault="00E85919" w:rsidP="00F97459">
      <w:pPr>
        <w:ind w:firstLine="709"/>
        <w:jc w:val="both"/>
        <w:rPr>
          <w:rFonts w:eastAsia="Calibri"/>
          <w:bCs/>
          <w:iCs/>
          <w:lang w:eastAsia="en-US"/>
        </w:rPr>
      </w:pPr>
      <w:r w:rsidRPr="00963F21">
        <w:rPr>
          <w:rFonts w:eastAsia="Calibri"/>
          <w:bCs/>
          <w:iCs/>
          <w:lang w:eastAsia="en-US"/>
        </w:rPr>
        <w:t xml:space="preserve">прочие (в </w:t>
      </w:r>
      <w:r w:rsidR="004D733F" w:rsidRPr="00963F21">
        <w:rPr>
          <w:rFonts w:eastAsia="Calibri"/>
          <w:bCs/>
          <w:iCs/>
          <w:lang w:eastAsia="en-US"/>
        </w:rPr>
        <w:t>5</w:t>
      </w:r>
      <w:r w:rsidR="005B0257" w:rsidRPr="00963F21">
        <w:rPr>
          <w:rFonts w:eastAsia="Calibri"/>
          <w:bCs/>
          <w:iCs/>
          <w:lang w:eastAsia="en-US"/>
        </w:rPr>
        <w:t xml:space="preserve"> случаях </w:t>
      </w:r>
      <w:r w:rsidR="00F97459" w:rsidRPr="00963F21">
        <w:rPr>
          <w:rFonts w:eastAsia="Calibri"/>
          <w:bCs/>
          <w:iCs/>
          <w:lang w:eastAsia="en-US"/>
        </w:rPr>
        <w:t xml:space="preserve">или </w:t>
      </w:r>
      <w:r w:rsidR="004D733F" w:rsidRPr="00963F21">
        <w:rPr>
          <w:rFonts w:eastAsia="Calibri"/>
          <w:bCs/>
          <w:iCs/>
          <w:lang w:eastAsia="en-US"/>
        </w:rPr>
        <w:t>2</w:t>
      </w:r>
      <w:r w:rsidR="005B0257" w:rsidRPr="00963F21">
        <w:rPr>
          <w:rFonts w:eastAsia="Calibri"/>
          <w:bCs/>
          <w:iCs/>
          <w:lang w:eastAsia="en-US"/>
        </w:rPr>
        <w:t>0</w:t>
      </w:r>
      <w:r w:rsidR="00F97459" w:rsidRPr="00963F21">
        <w:rPr>
          <w:rFonts w:eastAsia="Calibri"/>
          <w:bCs/>
          <w:iCs/>
          <w:lang w:eastAsia="en-US"/>
        </w:rPr>
        <w:t> %), из них: в 2 - из-за непред</w:t>
      </w:r>
      <w:r w:rsidR="003529F3" w:rsidRPr="00963F21">
        <w:rPr>
          <w:rFonts w:eastAsia="Calibri"/>
          <w:bCs/>
          <w:iCs/>
          <w:lang w:eastAsia="en-US"/>
        </w:rPr>
        <w:t>сказуемого поведения животного;</w:t>
      </w:r>
      <w:r w:rsidR="00F97459" w:rsidRPr="00963F21">
        <w:rPr>
          <w:rFonts w:eastAsia="Calibri"/>
          <w:bCs/>
          <w:iCs/>
          <w:lang w:eastAsia="en-US"/>
        </w:rPr>
        <w:t xml:space="preserve"> 2 - вследствие личной неосторожности другого лица</w:t>
      </w:r>
      <w:r w:rsidR="003529F3" w:rsidRPr="00963F21">
        <w:rPr>
          <w:rFonts w:eastAsia="Calibri"/>
          <w:bCs/>
          <w:iCs/>
          <w:lang w:eastAsia="en-US"/>
        </w:rPr>
        <w:t xml:space="preserve"> и 1 – причина не установлена</w:t>
      </w:r>
      <w:r w:rsidR="000C584F" w:rsidRPr="00963F21">
        <w:rPr>
          <w:rFonts w:eastAsia="Calibri"/>
          <w:bCs/>
          <w:iCs/>
          <w:lang w:eastAsia="en-US"/>
        </w:rPr>
        <w:t xml:space="preserve"> </w:t>
      </w:r>
      <w:r w:rsidR="009F08D9" w:rsidRPr="00963F21">
        <w:rPr>
          <w:rFonts w:eastAsia="Calibri"/>
          <w:bCs/>
          <w:iCs/>
          <w:lang w:eastAsia="en-US"/>
        </w:rPr>
        <w:t>(</w:t>
      </w:r>
      <w:r w:rsidR="009F08D9" w:rsidRPr="00963F21">
        <w:rPr>
          <w:rFonts w:eastAsia="Calibri"/>
          <w:bCs/>
          <w:i/>
          <w:iCs/>
          <w:lang w:eastAsia="en-US"/>
        </w:rPr>
        <w:t>не относятся к тяжелым травмам);</w:t>
      </w:r>
    </w:p>
    <w:p w:rsidR="000C584F" w:rsidRPr="00963F21" w:rsidRDefault="009D38F7" w:rsidP="00F97459">
      <w:pPr>
        <w:ind w:firstLine="709"/>
        <w:jc w:val="both"/>
        <w:rPr>
          <w:rFonts w:eastAsia="Calibri"/>
          <w:bCs/>
          <w:iCs/>
          <w:lang w:eastAsia="en-US"/>
        </w:rPr>
      </w:pPr>
      <w:r w:rsidRPr="00963F21">
        <w:rPr>
          <w:rFonts w:eastAsia="Calibri"/>
          <w:bCs/>
          <w:iCs/>
          <w:lang w:eastAsia="en-US"/>
        </w:rPr>
        <w:t>нарушение требований по охране труда другими работни</w:t>
      </w:r>
      <w:r w:rsidR="00945E67" w:rsidRPr="00963F21">
        <w:rPr>
          <w:rFonts w:eastAsia="Calibri"/>
          <w:bCs/>
          <w:iCs/>
          <w:lang w:eastAsia="en-US"/>
        </w:rPr>
        <w:t>ками (в 2 случаях</w:t>
      </w:r>
      <w:r w:rsidR="00EF29F7" w:rsidRPr="00963F21">
        <w:rPr>
          <w:rFonts w:eastAsia="Calibri"/>
          <w:bCs/>
          <w:iCs/>
          <w:lang w:eastAsia="en-US"/>
        </w:rPr>
        <w:t xml:space="preserve"> или </w:t>
      </w:r>
      <w:r w:rsidR="00945E67" w:rsidRPr="00963F21">
        <w:rPr>
          <w:rFonts w:eastAsia="Calibri"/>
          <w:bCs/>
          <w:iCs/>
          <w:lang w:eastAsia="en-US"/>
        </w:rPr>
        <w:t>8</w:t>
      </w:r>
      <w:r w:rsidRPr="00963F21">
        <w:rPr>
          <w:rFonts w:eastAsia="Calibri"/>
          <w:bCs/>
          <w:iCs/>
          <w:lang w:eastAsia="en-US"/>
        </w:rPr>
        <w:t xml:space="preserve"> %) - (</w:t>
      </w:r>
      <w:r w:rsidRPr="00963F21">
        <w:rPr>
          <w:rFonts w:eastAsia="Calibri"/>
          <w:bCs/>
          <w:i/>
          <w:iCs/>
          <w:lang w:eastAsia="en-US"/>
        </w:rPr>
        <w:t>не относятся к тяжелым травмам);</w:t>
      </w:r>
    </w:p>
    <w:p w:rsidR="00FD28B0" w:rsidRPr="00963F21" w:rsidRDefault="00431457" w:rsidP="00363969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963F21">
        <w:rPr>
          <w:rFonts w:eastAsia="Calibri"/>
          <w:bCs/>
          <w:iCs/>
          <w:lang w:eastAsia="en-US"/>
        </w:rPr>
        <w:t>неудовлетворительное содержание и недостатки в организации рабочих мест</w:t>
      </w:r>
      <w:r w:rsidR="00D471F9" w:rsidRPr="00963F21">
        <w:rPr>
          <w:rFonts w:eastAsia="Calibri"/>
          <w:bCs/>
          <w:iCs/>
          <w:lang w:eastAsia="en-US"/>
        </w:rPr>
        <w:t>;</w:t>
      </w:r>
      <w:r w:rsidRPr="00963F21">
        <w:rPr>
          <w:rFonts w:eastAsia="Calibri"/>
          <w:bCs/>
          <w:iCs/>
          <w:lang w:eastAsia="en-US"/>
        </w:rPr>
        <w:t xml:space="preserve"> нарушение правил дорожного движения</w:t>
      </w:r>
      <w:r w:rsidR="00D471F9" w:rsidRPr="00963F21">
        <w:rPr>
          <w:rFonts w:eastAsia="Calibri"/>
          <w:bCs/>
          <w:iCs/>
          <w:lang w:eastAsia="en-US"/>
        </w:rPr>
        <w:t>;</w:t>
      </w:r>
      <w:r w:rsidRPr="00963F21">
        <w:rPr>
          <w:rFonts w:eastAsia="Calibri"/>
          <w:bCs/>
          <w:iCs/>
          <w:lang w:eastAsia="en-US"/>
        </w:rPr>
        <w:t xml:space="preserve"> отсутствие (не разработка) локального правового акта по охране труда, содержащего способы и приемы безопасного выполнения работ</w:t>
      </w:r>
      <w:r w:rsidR="00D471F9" w:rsidRPr="00963F21">
        <w:rPr>
          <w:rFonts w:eastAsia="Calibri"/>
          <w:bCs/>
          <w:iCs/>
          <w:lang w:eastAsia="en-US"/>
        </w:rPr>
        <w:t>;</w:t>
      </w:r>
      <w:r w:rsidRPr="00963F21">
        <w:rPr>
          <w:rFonts w:eastAsia="Calibri"/>
          <w:bCs/>
          <w:iCs/>
          <w:lang w:eastAsia="en-US"/>
        </w:rPr>
        <w:t xml:space="preserve"> </w:t>
      </w:r>
      <w:r w:rsidR="00363969" w:rsidRPr="00963F21">
        <w:rPr>
          <w:rFonts w:eastAsia="Calibri"/>
          <w:bCs/>
          <w:iCs/>
          <w:lang w:eastAsia="en-US"/>
        </w:rPr>
        <w:t>необеспечение потерпевшего средствами индивидуальной защиты</w:t>
      </w:r>
      <w:r w:rsidR="00F027BD" w:rsidRPr="00963F21">
        <w:rPr>
          <w:rFonts w:eastAsia="Calibri"/>
          <w:bCs/>
          <w:iCs/>
          <w:lang w:eastAsia="en-US"/>
        </w:rPr>
        <w:t xml:space="preserve">, нарушение правил пожарной безопасности и нахождение потерпевшего в состоянии алкогольного </w:t>
      </w:r>
      <w:r w:rsidR="00963F21" w:rsidRPr="00963F21">
        <w:rPr>
          <w:rFonts w:eastAsia="Calibri"/>
          <w:bCs/>
          <w:iCs/>
          <w:lang w:eastAsia="en-US"/>
        </w:rPr>
        <w:t>опьянения (</w:t>
      </w:r>
      <w:r w:rsidR="00A9346C" w:rsidRPr="00963F21">
        <w:rPr>
          <w:rFonts w:eastAsia="Calibri"/>
          <w:bCs/>
          <w:iCs/>
          <w:lang w:eastAsia="en-US"/>
        </w:rPr>
        <w:t>по</w:t>
      </w:r>
      <w:r w:rsidR="00363969" w:rsidRPr="00963F21">
        <w:rPr>
          <w:rFonts w:eastAsia="Calibri"/>
          <w:bCs/>
          <w:iCs/>
          <w:lang w:eastAsia="en-US"/>
        </w:rPr>
        <w:t xml:space="preserve"> 1 случа</w:t>
      </w:r>
      <w:r w:rsidR="00A9346C" w:rsidRPr="00963F21">
        <w:rPr>
          <w:rFonts w:eastAsia="Calibri"/>
          <w:bCs/>
          <w:iCs/>
          <w:lang w:eastAsia="en-US"/>
        </w:rPr>
        <w:t>ю</w:t>
      </w:r>
      <w:r w:rsidR="00DE2CB1" w:rsidRPr="00963F21">
        <w:rPr>
          <w:rFonts w:eastAsia="Calibri"/>
          <w:bCs/>
          <w:iCs/>
          <w:lang w:eastAsia="en-US"/>
        </w:rPr>
        <w:t xml:space="preserve"> </w:t>
      </w:r>
      <w:r w:rsidR="00363969" w:rsidRPr="00963F21">
        <w:rPr>
          <w:rFonts w:eastAsia="Calibri"/>
          <w:bCs/>
          <w:iCs/>
          <w:lang w:eastAsia="en-US"/>
        </w:rPr>
        <w:t xml:space="preserve">или </w:t>
      </w:r>
      <w:r w:rsidR="00F027BD" w:rsidRPr="00963F21">
        <w:rPr>
          <w:rFonts w:eastAsia="Calibri"/>
          <w:bCs/>
          <w:iCs/>
          <w:lang w:eastAsia="en-US"/>
        </w:rPr>
        <w:t>4,</w:t>
      </w:r>
      <w:r w:rsidR="00963F21" w:rsidRPr="00963F21">
        <w:rPr>
          <w:rFonts w:eastAsia="Calibri"/>
          <w:bCs/>
          <w:iCs/>
          <w:lang w:eastAsia="en-US"/>
        </w:rPr>
        <w:t>0</w:t>
      </w:r>
      <w:r w:rsidR="00363969" w:rsidRPr="00963F21">
        <w:rPr>
          <w:rFonts w:eastAsia="Calibri"/>
          <w:bCs/>
          <w:iCs/>
          <w:lang w:eastAsia="en-US"/>
        </w:rPr>
        <w:t> %)</w:t>
      </w:r>
      <w:r w:rsidR="00B34E62" w:rsidRPr="00963F21">
        <w:rPr>
          <w:rFonts w:eastAsia="Calibri"/>
          <w:bCs/>
          <w:i/>
          <w:iCs/>
          <w:lang w:eastAsia="en-US"/>
        </w:rPr>
        <w:t>.</w:t>
      </w:r>
    </w:p>
    <w:p w:rsidR="00057186" w:rsidRPr="00963F21" w:rsidRDefault="00057186" w:rsidP="00057186">
      <w:pPr>
        <w:ind w:firstLine="709"/>
        <w:jc w:val="both"/>
        <w:rPr>
          <w:spacing w:val="-4"/>
        </w:rPr>
      </w:pPr>
      <w:r w:rsidRPr="00963F21">
        <w:rPr>
          <w:spacing w:val="-4"/>
        </w:rPr>
        <w:t>При этом, анализ причин несчастных случаев (</w:t>
      </w:r>
      <w:r w:rsidR="00F31261" w:rsidRPr="00963F21">
        <w:rPr>
          <w:spacing w:val="-4"/>
        </w:rPr>
        <w:t>2</w:t>
      </w:r>
      <w:r w:rsidR="00963F21" w:rsidRPr="00963F21">
        <w:rPr>
          <w:spacing w:val="-4"/>
        </w:rPr>
        <w:t xml:space="preserve">5 </w:t>
      </w:r>
      <w:r w:rsidR="003B574C" w:rsidRPr="00963F21">
        <w:rPr>
          <w:spacing w:val="-4"/>
        </w:rPr>
        <w:t>из 2</w:t>
      </w:r>
      <w:r w:rsidR="00F31261" w:rsidRPr="00963F21">
        <w:rPr>
          <w:spacing w:val="-4"/>
        </w:rPr>
        <w:t>6</w:t>
      </w:r>
      <w:r w:rsidRPr="00963F21">
        <w:rPr>
          <w:spacing w:val="-4"/>
        </w:rPr>
        <w:t>) показывает, что:</w:t>
      </w:r>
    </w:p>
    <w:p w:rsidR="00B34E62" w:rsidRPr="00FC2FDA" w:rsidRDefault="00B34E62" w:rsidP="00B34E62">
      <w:pPr>
        <w:ind w:firstLine="709"/>
        <w:jc w:val="both"/>
        <w:rPr>
          <w:i/>
        </w:rPr>
      </w:pPr>
      <w:r w:rsidRPr="00FC2FDA">
        <w:rPr>
          <w:spacing w:val="-4"/>
        </w:rPr>
        <w:t xml:space="preserve">исключительно по вине потерпевшего, в том числе его личной неосторожности, произошло </w:t>
      </w:r>
      <w:r w:rsidR="00963F21" w:rsidRPr="00FC2FDA">
        <w:rPr>
          <w:spacing w:val="-4"/>
        </w:rPr>
        <w:t>13</w:t>
      </w:r>
      <w:r w:rsidRPr="00FC2FDA">
        <w:rPr>
          <w:spacing w:val="-4"/>
        </w:rPr>
        <w:t xml:space="preserve"> случаев</w:t>
      </w:r>
      <w:r w:rsidR="009208B6" w:rsidRPr="00FC2FDA">
        <w:rPr>
          <w:spacing w:val="-4"/>
        </w:rPr>
        <w:t xml:space="preserve"> (</w:t>
      </w:r>
      <w:r w:rsidR="00963F21" w:rsidRPr="00FC2FDA">
        <w:t>52</w:t>
      </w:r>
      <w:r w:rsidRPr="00FC2FDA">
        <w:t> %</w:t>
      </w:r>
      <w:r w:rsidR="009208B6" w:rsidRPr="00FC2FDA">
        <w:t>) -</w:t>
      </w:r>
      <w:r w:rsidRPr="00FC2FDA">
        <w:t xml:space="preserve"> </w:t>
      </w:r>
      <w:r w:rsidRPr="00FC2FDA">
        <w:rPr>
          <w:i/>
        </w:rPr>
        <w:t xml:space="preserve">(СХФ «Кривая Гряда» </w:t>
      </w:r>
      <w:r w:rsidR="009208B6" w:rsidRPr="00FC2FDA">
        <w:rPr>
          <w:i/>
        </w:rPr>
        <w:br/>
      </w:r>
      <w:r w:rsidRPr="00FC2FDA">
        <w:rPr>
          <w:i/>
        </w:rPr>
        <w:t>ОАО «Слуцкий сыродельный комбинат» (2 случая), КУП «</w:t>
      </w:r>
      <w:proofErr w:type="spellStart"/>
      <w:r w:rsidRPr="00FC2FDA">
        <w:rPr>
          <w:i/>
        </w:rPr>
        <w:t>Слуцкое</w:t>
      </w:r>
      <w:proofErr w:type="spellEnd"/>
      <w:r w:rsidRPr="00FC2FDA">
        <w:rPr>
          <w:i/>
        </w:rPr>
        <w:t xml:space="preserve"> ЖКХ»,</w:t>
      </w:r>
      <w:r w:rsidR="00F85B4C" w:rsidRPr="00FC2FDA">
        <w:rPr>
          <w:i/>
        </w:rPr>
        <w:t xml:space="preserve"> </w:t>
      </w:r>
      <w:r w:rsidR="00FC2FDA" w:rsidRPr="00FC2FDA">
        <w:rPr>
          <w:i/>
        </w:rPr>
        <w:br/>
      </w:r>
      <w:r w:rsidR="00F85B4C" w:rsidRPr="00FC2FDA">
        <w:rPr>
          <w:i/>
        </w:rPr>
        <w:t xml:space="preserve">ОАО «Сороги-Агро», </w:t>
      </w:r>
      <w:r w:rsidR="00E6084A" w:rsidRPr="00FC2FDA">
        <w:rPr>
          <w:i/>
        </w:rPr>
        <w:t>ООО «ММТ», ДУП «Сельский строительный комбинат»</w:t>
      </w:r>
      <w:r w:rsidR="003B574C" w:rsidRPr="00FC2FDA">
        <w:rPr>
          <w:i/>
        </w:rPr>
        <w:t xml:space="preserve">, </w:t>
      </w:r>
      <w:r w:rsidR="003B574C" w:rsidRPr="00FC2FDA">
        <w:rPr>
          <w:i/>
        </w:rPr>
        <w:lastRenderedPageBreak/>
        <w:t>СХФ ОАО «Слуцкий сыродельный комбинат»</w:t>
      </w:r>
      <w:r w:rsidR="00F31261" w:rsidRPr="00FC2FDA">
        <w:rPr>
          <w:i/>
        </w:rPr>
        <w:t>, ОАО «Агрофирма «Лучники», СУП «</w:t>
      </w:r>
      <w:proofErr w:type="spellStart"/>
      <w:r w:rsidR="00F31261" w:rsidRPr="00FC2FDA">
        <w:rPr>
          <w:i/>
        </w:rPr>
        <w:t>Агросервис</w:t>
      </w:r>
      <w:proofErr w:type="spellEnd"/>
      <w:r w:rsidR="00F31261" w:rsidRPr="00FC2FDA">
        <w:rPr>
          <w:i/>
        </w:rPr>
        <w:t xml:space="preserve"> –</w:t>
      </w:r>
      <w:r w:rsidR="00360812" w:rsidRPr="00FC2FDA">
        <w:rPr>
          <w:i/>
        </w:rPr>
        <w:t>ССК» ОАО «Слуцкий сахарорафинадный комбинат</w:t>
      </w:r>
      <w:r w:rsidR="00F31261" w:rsidRPr="00FC2FDA">
        <w:rPr>
          <w:i/>
        </w:rPr>
        <w:t>»</w:t>
      </w:r>
      <w:r w:rsidR="00210B75" w:rsidRPr="00FC2FDA">
        <w:rPr>
          <w:i/>
        </w:rPr>
        <w:t xml:space="preserve">, </w:t>
      </w:r>
      <w:r w:rsidR="005F75CB" w:rsidRPr="00FC2FDA">
        <w:rPr>
          <w:i/>
        </w:rPr>
        <w:t>филиал «ПСХ «Наша Нива» ОАО «Слуцкий мясокомбинат»</w:t>
      </w:r>
      <w:r w:rsidR="00F85B4C" w:rsidRPr="00FC2FDA">
        <w:rPr>
          <w:i/>
        </w:rPr>
        <w:t xml:space="preserve"> (2 случая),</w:t>
      </w:r>
      <w:r w:rsidR="005F75CB" w:rsidRPr="00FC2FDA">
        <w:rPr>
          <w:i/>
        </w:rPr>
        <w:t xml:space="preserve"> </w:t>
      </w:r>
      <w:r w:rsidR="00210B75" w:rsidRPr="00FC2FDA">
        <w:rPr>
          <w:i/>
        </w:rPr>
        <w:t>ООО «</w:t>
      </w:r>
      <w:proofErr w:type="spellStart"/>
      <w:r w:rsidR="00210B75" w:rsidRPr="00FC2FDA">
        <w:rPr>
          <w:i/>
        </w:rPr>
        <w:t>Солстройкомплект</w:t>
      </w:r>
      <w:proofErr w:type="spellEnd"/>
      <w:r w:rsidR="00210B75" w:rsidRPr="00FC2FDA">
        <w:rPr>
          <w:i/>
        </w:rPr>
        <w:t>», Учреждение ЛТП № 3;</w:t>
      </w:r>
    </w:p>
    <w:p w:rsidR="009208B6" w:rsidRPr="0028465E" w:rsidRDefault="009208B6" w:rsidP="009208B6">
      <w:pPr>
        <w:ind w:firstLine="709"/>
        <w:jc w:val="both"/>
        <w:rPr>
          <w:spacing w:val="-4"/>
        </w:rPr>
      </w:pPr>
      <w:r w:rsidRPr="0028465E">
        <w:rPr>
          <w:spacing w:val="-4"/>
        </w:rPr>
        <w:t>исключительно по вине нанимателя произошло 5 случаев (</w:t>
      </w:r>
      <w:r w:rsidR="00FC2FDA" w:rsidRPr="0028465E">
        <w:t>20</w:t>
      </w:r>
      <w:r w:rsidRPr="0028465E">
        <w:t xml:space="preserve"> %) - </w:t>
      </w:r>
      <w:r w:rsidRPr="0028465E">
        <w:rPr>
          <w:i/>
        </w:rPr>
        <w:t xml:space="preserve">(СХФ «Кривая Гряда» ОАО «Слуцкий сыродельный комбинат», ОАО «Сороги-Агро», СХФ ОАО «Слуцкий сыродельный комбинат» (2 случая), ООО «Системы связи и автоматики»); </w:t>
      </w:r>
    </w:p>
    <w:p w:rsidR="00057186" w:rsidRPr="00F55AD7" w:rsidRDefault="00057186" w:rsidP="00057186">
      <w:pPr>
        <w:ind w:firstLine="709"/>
        <w:jc w:val="both"/>
        <w:rPr>
          <w:color w:val="FF0000"/>
          <w:spacing w:val="-4"/>
        </w:rPr>
      </w:pPr>
      <w:r w:rsidRPr="00C16ECF">
        <w:t>вина не усма</w:t>
      </w:r>
      <w:r w:rsidR="00D471F9" w:rsidRPr="00C16ECF">
        <w:t xml:space="preserve">тривается в </w:t>
      </w:r>
      <w:r w:rsidR="0028465E" w:rsidRPr="00C16ECF">
        <w:t>5</w:t>
      </w:r>
      <w:r w:rsidR="00D471F9" w:rsidRPr="00C16ECF">
        <w:t xml:space="preserve"> случаях </w:t>
      </w:r>
      <w:r w:rsidR="00BE5E87" w:rsidRPr="00C16ECF">
        <w:rPr>
          <w:spacing w:val="-4"/>
        </w:rPr>
        <w:t>(</w:t>
      </w:r>
      <w:r w:rsidR="0028465E" w:rsidRPr="00C16ECF">
        <w:rPr>
          <w:spacing w:val="-4"/>
        </w:rPr>
        <w:t>20</w:t>
      </w:r>
      <w:r w:rsidR="00BE5E87" w:rsidRPr="00C16ECF">
        <w:t xml:space="preserve"> %) - </w:t>
      </w:r>
      <w:r w:rsidRPr="00C16ECF">
        <w:rPr>
          <w:i/>
        </w:rPr>
        <w:t xml:space="preserve">(ОАО «Подлесье-2003», </w:t>
      </w:r>
      <w:r w:rsidRPr="00C16ECF">
        <w:rPr>
          <w:i/>
        </w:rPr>
        <w:br/>
        <w:t>СХФ ОАО</w:t>
      </w:r>
      <w:r w:rsidR="00BE5E87" w:rsidRPr="00C16ECF">
        <w:rPr>
          <w:i/>
        </w:rPr>
        <w:t xml:space="preserve"> «Слуцкий сыродельный комбинат»</w:t>
      </w:r>
      <w:r w:rsidR="00C16ECF" w:rsidRPr="00C16ECF">
        <w:rPr>
          <w:i/>
        </w:rPr>
        <w:t>,</w:t>
      </w:r>
      <w:r w:rsidRPr="00C16ECF">
        <w:rPr>
          <w:i/>
        </w:rPr>
        <w:t xml:space="preserve"> филиал «ПСХ» ОАО «Слуцкий мясокомбинат» и Учреждение «ЛТП № 3»</w:t>
      </w:r>
      <w:r w:rsidR="0056441F" w:rsidRPr="00C16ECF">
        <w:rPr>
          <w:i/>
        </w:rPr>
        <w:t>, ГУК «Слуцкий районный центр народного творчества»</w:t>
      </w:r>
      <w:r w:rsidRPr="00C16ECF">
        <w:rPr>
          <w:i/>
        </w:rPr>
        <w:t>)</w:t>
      </w:r>
      <w:r w:rsidRPr="00C16ECF">
        <w:rPr>
          <w:spacing w:val="-4"/>
        </w:rPr>
        <w:t>;</w:t>
      </w:r>
    </w:p>
    <w:p w:rsidR="00FD28B0" w:rsidRPr="00B0102A" w:rsidRDefault="00FD28B0" w:rsidP="00FD28B0">
      <w:pPr>
        <w:ind w:firstLine="709"/>
        <w:jc w:val="both"/>
      </w:pPr>
      <w:r w:rsidRPr="00B0102A">
        <w:t>смешанная ответственность нанимателя и других работников установл</w:t>
      </w:r>
      <w:r w:rsidR="00950DB1" w:rsidRPr="00B0102A">
        <w:t>ена в 1 слу</w:t>
      </w:r>
      <w:r w:rsidR="00166CF0" w:rsidRPr="00B0102A">
        <w:t>чае (</w:t>
      </w:r>
      <w:r w:rsidR="00B0102A" w:rsidRPr="00B0102A">
        <w:t>4</w:t>
      </w:r>
      <w:r w:rsidRPr="00B0102A">
        <w:t> %</w:t>
      </w:r>
      <w:r w:rsidR="00950DB1" w:rsidRPr="00B0102A">
        <w:t>) -</w:t>
      </w:r>
      <w:r w:rsidRPr="00B0102A">
        <w:t xml:space="preserve"> (</w:t>
      </w:r>
      <w:r w:rsidRPr="00B0102A">
        <w:rPr>
          <w:i/>
        </w:rPr>
        <w:t>ОАО «Сороги-Агро»</w:t>
      </w:r>
      <w:r w:rsidRPr="00B0102A">
        <w:t>);</w:t>
      </w:r>
    </w:p>
    <w:p w:rsidR="00950DB1" w:rsidRPr="00B0102A" w:rsidRDefault="00950DB1" w:rsidP="00950DB1">
      <w:pPr>
        <w:ind w:firstLine="709"/>
        <w:jc w:val="both"/>
      </w:pPr>
      <w:r w:rsidRPr="00B0102A">
        <w:rPr>
          <w:spacing w:val="-4"/>
        </w:rPr>
        <w:t xml:space="preserve">смешанная ответственность потерпевшего и другого работника организации установлена в </w:t>
      </w:r>
      <w:r w:rsidR="00166CF0" w:rsidRPr="00B0102A">
        <w:t>1 случае (</w:t>
      </w:r>
      <w:r w:rsidR="00B0102A" w:rsidRPr="00B0102A">
        <w:t>4</w:t>
      </w:r>
      <w:r w:rsidRPr="00B0102A">
        <w:t> %) - (</w:t>
      </w:r>
      <w:r w:rsidR="00CA5B45" w:rsidRPr="00B0102A">
        <w:rPr>
          <w:i/>
        </w:rPr>
        <w:t>Учреждение «ЛТП № 3»</w:t>
      </w:r>
      <w:r w:rsidRPr="00B0102A">
        <w:t>);</w:t>
      </w:r>
    </w:p>
    <w:p w:rsidR="00FD28B0" w:rsidRPr="00F55AD7" w:rsidRDefault="00FD28B0" w:rsidP="00FD28B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0102A">
        <w:t>смешанной ответственности нанимателя и потерпевшего не установлено</w:t>
      </w:r>
      <w:r w:rsidRPr="00F55AD7">
        <w:rPr>
          <w:color w:val="FF0000"/>
        </w:rPr>
        <w:t>.</w:t>
      </w:r>
    </w:p>
    <w:p w:rsidR="00490F54" w:rsidRDefault="00490F54" w:rsidP="00D856EA">
      <w:pPr>
        <w:jc w:val="both"/>
      </w:pPr>
      <w:r w:rsidRPr="004E264E">
        <w:rPr>
          <w:noProof/>
          <w:highlight w:val="yellow"/>
        </w:rPr>
        <w:drawing>
          <wp:inline distT="0" distB="0" distL="0" distR="0" wp14:anchorId="0D75246D" wp14:editId="6203162E">
            <wp:extent cx="6050943" cy="2527935"/>
            <wp:effectExtent l="0" t="0" r="6985" b="57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28B0" w:rsidRPr="00F635AC" w:rsidRDefault="003D60A8" w:rsidP="00FD28B0">
      <w:pPr>
        <w:ind w:firstLine="709"/>
        <w:jc w:val="both"/>
        <w:rPr>
          <w:bCs/>
          <w:i/>
          <w:iCs/>
        </w:rPr>
      </w:pPr>
      <w:r w:rsidRPr="00205839">
        <w:t>В</w:t>
      </w:r>
      <w:r w:rsidR="00FD28B0" w:rsidRPr="00205839">
        <w:t xml:space="preserve"> </w:t>
      </w:r>
      <w:r w:rsidR="00FD28B0" w:rsidRPr="00205839">
        <w:rPr>
          <w:bCs/>
          <w:iCs/>
        </w:rPr>
        <w:t>2024 год</w:t>
      </w:r>
      <w:r w:rsidRPr="00205839">
        <w:rPr>
          <w:bCs/>
          <w:iCs/>
        </w:rPr>
        <w:t>у</w:t>
      </w:r>
      <w:r w:rsidR="00FD28B0" w:rsidRPr="00205839">
        <w:rPr>
          <w:bCs/>
          <w:iCs/>
        </w:rPr>
        <w:t xml:space="preserve"> произошло </w:t>
      </w:r>
      <w:r w:rsidR="00D124D5" w:rsidRPr="00205839">
        <w:rPr>
          <w:bCs/>
          <w:iCs/>
        </w:rPr>
        <w:t>9</w:t>
      </w:r>
      <w:r w:rsidR="00FD28B0" w:rsidRPr="00205839">
        <w:rPr>
          <w:bCs/>
          <w:iCs/>
        </w:rPr>
        <w:t xml:space="preserve"> несчастных случаев, </w:t>
      </w:r>
      <w:r w:rsidR="00FD28B0" w:rsidRPr="00205839">
        <w:t xml:space="preserve">которые по результатам расследования, признаны непроизводственными и не включаются в государственную статистическую отчетность, из которых: 1 - произошел при обстоятельствах, когда единственной причиной смерти явилось нахождение погибшего в состоянии алкогольного опьянения </w:t>
      </w:r>
      <w:r w:rsidR="00FD28B0" w:rsidRPr="00205839">
        <w:rPr>
          <w:rFonts w:eastAsia="Calibri"/>
          <w:bCs/>
          <w:lang w:eastAsia="en-US"/>
        </w:rPr>
        <w:t>3,5 промилле</w:t>
      </w:r>
      <w:r w:rsidR="00FD28B0" w:rsidRPr="00205839">
        <w:t xml:space="preserve"> (</w:t>
      </w:r>
      <w:r w:rsidR="00FD28B0" w:rsidRPr="00205839">
        <w:rPr>
          <w:i/>
        </w:rPr>
        <w:t>ОАО «</w:t>
      </w:r>
      <w:proofErr w:type="spellStart"/>
      <w:r w:rsidR="00FD28B0" w:rsidRPr="00205839">
        <w:rPr>
          <w:i/>
        </w:rPr>
        <w:t>Витко</w:t>
      </w:r>
      <w:proofErr w:type="spellEnd"/>
      <w:r w:rsidR="00FD28B0" w:rsidRPr="00205839">
        <w:rPr>
          <w:i/>
        </w:rPr>
        <w:t>-Агро»)</w:t>
      </w:r>
      <w:r w:rsidR="00AD2901" w:rsidRPr="00205839">
        <w:t>,</w:t>
      </w:r>
      <w:r w:rsidR="00FD28B0" w:rsidRPr="00205839">
        <w:t xml:space="preserve"> </w:t>
      </w:r>
      <w:r w:rsidRPr="00205839">
        <w:t>6</w:t>
      </w:r>
      <w:r w:rsidR="00FD28B0" w:rsidRPr="00205839">
        <w:t> </w:t>
      </w:r>
      <w:r w:rsidR="00AD2901" w:rsidRPr="00205839">
        <w:t>–</w:t>
      </w:r>
      <w:r w:rsidR="00FD28B0" w:rsidRPr="00205839">
        <w:t> </w:t>
      </w:r>
      <w:r w:rsidR="00AD2901" w:rsidRPr="00205839">
        <w:t xml:space="preserve">смерть обусловлена </w:t>
      </w:r>
      <w:r w:rsidR="00FD28B0" w:rsidRPr="00205839">
        <w:rPr>
          <w:bCs/>
        </w:rPr>
        <w:t>исключительно заболеванием потерпевшего, имевшимся у него до смерти</w:t>
      </w:r>
      <w:r w:rsidR="00FD28B0" w:rsidRPr="00205839">
        <w:rPr>
          <w:bCs/>
          <w:iCs/>
        </w:rPr>
        <w:t xml:space="preserve"> (</w:t>
      </w:r>
      <w:r w:rsidR="00FD28B0" w:rsidRPr="00205839">
        <w:rPr>
          <w:i/>
        </w:rPr>
        <w:t>СХФ ОАО «Слуцкий сыродельный комбинат»</w:t>
      </w:r>
      <w:r w:rsidR="00FD28B0" w:rsidRPr="00205839">
        <w:rPr>
          <w:rFonts w:eastAsia="Calibri"/>
          <w:bCs/>
          <w:i/>
          <w:iCs/>
          <w:lang w:eastAsia="en-US"/>
        </w:rPr>
        <w:t>, ОАО «Слуцкая Нива», филиал «</w:t>
      </w:r>
      <w:proofErr w:type="spellStart"/>
      <w:r w:rsidR="00FD28B0" w:rsidRPr="00205839">
        <w:rPr>
          <w:rFonts w:eastAsia="Calibri"/>
          <w:bCs/>
          <w:i/>
          <w:iCs/>
          <w:lang w:eastAsia="en-US"/>
        </w:rPr>
        <w:t>Слуцклифт</w:t>
      </w:r>
      <w:proofErr w:type="spellEnd"/>
      <w:r w:rsidR="00FD28B0" w:rsidRPr="00205839">
        <w:rPr>
          <w:rFonts w:eastAsia="Calibri"/>
          <w:bCs/>
          <w:i/>
          <w:iCs/>
          <w:lang w:eastAsia="en-US"/>
        </w:rPr>
        <w:t>» ОАО «ЛИФТСЕРВИС», СУ №55 ОАО «Стройтрест № 3», ТУП «Слуцкий рынок ОПС»</w:t>
      </w:r>
      <w:r w:rsidR="00166CF0" w:rsidRPr="00205839">
        <w:rPr>
          <w:rFonts w:eastAsia="Calibri"/>
          <w:bCs/>
          <w:i/>
          <w:iCs/>
          <w:lang w:eastAsia="en-US"/>
        </w:rPr>
        <w:t>, филиал «ПСХ «Наша Нива» ОАО «Слуцкий мясокомбинат»</w:t>
      </w:r>
      <w:r w:rsidR="00FD28B0" w:rsidRPr="00205839">
        <w:rPr>
          <w:rFonts w:eastAsia="Calibri"/>
          <w:bCs/>
          <w:i/>
          <w:iCs/>
          <w:lang w:eastAsia="en-US"/>
        </w:rPr>
        <w:t>)</w:t>
      </w:r>
      <w:r w:rsidR="00AD2901" w:rsidRPr="00205839">
        <w:rPr>
          <w:rFonts w:eastAsia="Calibri"/>
          <w:bCs/>
          <w:i/>
          <w:iCs/>
          <w:lang w:eastAsia="en-US"/>
        </w:rPr>
        <w:t xml:space="preserve"> </w:t>
      </w:r>
      <w:r w:rsidR="00AD2901" w:rsidRPr="00F635AC">
        <w:rPr>
          <w:rFonts w:eastAsia="Calibri"/>
          <w:bCs/>
          <w:iCs/>
          <w:lang w:eastAsia="en-US"/>
        </w:rPr>
        <w:t>и 2</w:t>
      </w:r>
      <w:r w:rsidR="00AD2901" w:rsidRPr="00205839">
        <w:rPr>
          <w:rFonts w:eastAsia="Calibri"/>
          <w:bCs/>
          <w:iCs/>
          <w:lang w:eastAsia="en-US"/>
        </w:rPr>
        <w:t xml:space="preserve"> (1 смертельный и </w:t>
      </w:r>
      <w:r w:rsidR="00930F9B">
        <w:rPr>
          <w:rFonts w:eastAsia="Calibri"/>
          <w:bCs/>
          <w:iCs/>
          <w:lang w:eastAsia="en-US"/>
        </w:rPr>
        <w:t xml:space="preserve">1 </w:t>
      </w:r>
      <w:r w:rsidR="00AD2901" w:rsidRPr="00205839">
        <w:rPr>
          <w:rFonts w:eastAsia="Calibri"/>
          <w:bCs/>
          <w:iCs/>
          <w:lang w:eastAsia="en-US"/>
        </w:rPr>
        <w:t xml:space="preserve">не относится к тяжелой травме) - </w:t>
      </w:r>
      <w:r w:rsidR="00205839" w:rsidRPr="00205839">
        <w:rPr>
          <w:highlight w:val="lightGray"/>
        </w:rPr>
        <w:t>произошли при выполнении не порученной работы</w:t>
      </w:r>
      <w:r w:rsidR="00F635AC">
        <w:t xml:space="preserve"> </w:t>
      </w:r>
      <w:r w:rsidR="00F635AC" w:rsidRPr="00F635AC">
        <w:rPr>
          <w:i/>
        </w:rPr>
        <w:t>(ЧПУП «АМН плюс» и СУП «Племхоз Слуцк» соответственно)</w:t>
      </w:r>
      <w:r w:rsidR="00FD28B0" w:rsidRPr="00F635AC">
        <w:rPr>
          <w:rFonts w:eastAsia="Calibri"/>
          <w:bCs/>
          <w:i/>
          <w:iCs/>
          <w:lang w:eastAsia="en-US"/>
        </w:rPr>
        <w:t xml:space="preserve">. </w:t>
      </w:r>
    </w:p>
    <w:p w:rsidR="00E103D2" w:rsidRPr="00F635AC" w:rsidRDefault="00E103D2" w:rsidP="00FD28B0">
      <w:pPr>
        <w:ind w:firstLine="708"/>
        <w:jc w:val="both"/>
        <w:rPr>
          <w:bCs/>
          <w:i/>
          <w:color w:val="FF0000"/>
        </w:rPr>
      </w:pPr>
    </w:p>
    <w:p w:rsidR="00D3705D" w:rsidRDefault="00D3705D" w:rsidP="00D3705D">
      <w:pPr>
        <w:spacing w:line="240" w:lineRule="exact"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 xml:space="preserve">Главный специалист отдела трудовых </w:t>
      </w:r>
    </w:p>
    <w:p w:rsidR="00D3705D" w:rsidRDefault="00D3705D" w:rsidP="00D3705D">
      <w:pPr>
        <w:spacing w:line="240" w:lineRule="exact"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 xml:space="preserve">отношений управления по труду, </w:t>
      </w:r>
    </w:p>
    <w:p w:rsidR="00D3705D" w:rsidRDefault="00D3705D" w:rsidP="00D3705D">
      <w:pPr>
        <w:spacing w:line="240" w:lineRule="exact"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 xml:space="preserve">занятости и социальной защите </w:t>
      </w:r>
    </w:p>
    <w:p w:rsidR="00D3705D" w:rsidRDefault="00D3705D" w:rsidP="00605FD3">
      <w:pPr>
        <w:spacing w:line="240" w:lineRule="exact"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Слуцкого райисполкома</w:t>
      </w:r>
      <w:r>
        <w:rPr>
          <w:rFonts w:eastAsia="Calibri"/>
          <w:bCs/>
          <w:iCs/>
          <w:color w:val="000000"/>
        </w:rPr>
        <w:tab/>
      </w:r>
      <w:r>
        <w:rPr>
          <w:rFonts w:eastAsia="Calibri"/>
          <w:bCs/>
          <w:iCs/>
          <w:color w:val="000000"/>
        </w:rPr>
        <w:tab/>
      </w:r>
      <w:r>
        <w:rPr>
          <w:rFonts w:eastAsia="Calibri"/>
          <w:bCs/>
          <w:iCs/>
          <w:color w:val="000000"/>
        </w:rPr>
        <w:tab/>
      </w:r>
      <w:r>
        <w:rPr>
          <w:rFonts w:eastAsia="Calibri"/>
          <w:bCs/>
          <w:iCs/>
          <w:color w:val="000000"/>
        </w:rPr>
        <w:tab/>
      </w:r>
      <w:r>
        <w:rPr>
          <w:rFonts w:eastAsia="Calibri"/>
          <w:bCs/>
          <w:iCs/>
          <w:color w:val="000000"/>
        </w:rPr>
        <w:tab/>
        <w:t xml:space="preserve">    </w:t>
      </w:r>
      <w:proofErr w:type="spellStart"/>
      <w:r>
        <w:rPr>
          <w:rFonts w:eastAsia="Calibri"/>
          <w:bCs/>
          <w:iCs/>
          <w:color w:val="000000"/>
        </w:rPr>
        <w:t>В.Ю.Коршун</w:t>
      </w:r>
      <w:proofErr w:type="spellEnd"/>
    </w:p>
    <w:p w:rsidR="00FF3C5D" w:rsidRPr="000148F7" w:rsidRDefault="00FF3C5D" w:rsidP="00FF3C5D">
      <w:pPr>
        <w:ind w:firstLine="567"/>
        <w:jc w:val="both"/>
        <w:rPr>
          <w:rFonts w:eastAsia="Calibri"/>
          <w:b/>
          <w:bCs/>
          <w:iCs/>
          <w:color w:val="000000"/>
          <w:sz w:val="30"/>
          <w:szCs w:val="30"/>
        </w:rPr>
      </w:pPr>
      <w:r w:rsidRPr="000148F7">
        <w:rPr>
          <w:rFonts w:eastAsia="Calibri"/>
          <w:b/>
          <w:bCs/>
          <w:iCs/>
          <w:color w:val="000000"/>
          <w:sz w:val="30"/>
          <w:szCs w:val="30"/>
        </w:rPr>
        <w:lastRenderedPageBreak/>
        <w:t xml:space="preserve">В целях профилактики и недопущения аналогичных </w:t>
      </w:r>
      <w:r w:rsidRPr="000148F7">
        <w:rPr>
          <w:b/>
          <w:sz w:val="30"/>
          <w:szCs w:val="30"/>
        </w:rPr>
        <w:t>случаев производственного травматизма</w:t>
      </w:r>
      <w:r w:rsidRPr="000148F7">
        <w:rPr>
          <w:rFonts w:eastAsia="Calibri"/>
          <w:b/>
          <w:bCs/>
          <w:iCs/>
          <w:color w:val="000000"/>
          <w:sz w:val="30"/>
          <w:szCs w:val="30"/>
        </w:rPr>
        <w:t xml:space="preserve"> в организациях Слуцкого района руководителю организации (по направлению деятельности) необходимо:</w:t>
      </w:r>
    </w:p>
    <w:p w:rsidR="00FF3C5D" w:rsidRPr="005D69DA" w:rsidRDefault="00FF3C5D" w:rsidP="00FF3C5D">
      <w:pPr>
        <w:pStyle w:val="a6"/>
        <w:jc w:val="both"/>
        <w:rPr>
          <w:sz w:val="30"/>
        </w:rPr>
      </w:pPr>
      <w:r w:rsidRPr="005D69DA">
        <w:rPr>
          <w:sz w:val="30"/>
        </w:rPr>
        <w:t>не допускать к работе (отстранять от работы) в соответствующий день (смену) работников, находящихся в состоянии алкогольного опьянения, не прошедших инструктаж, стажировку и проверку знаний</w:t>
      </w:r>
      <w:r>
        <w:rPr>
          <w:sz w:val="30"/>
        </w:rPr>
        <w:t xml:space="preserve"> </w:t>
      </w:r>
      <w:r w:rsidRPr="005D69DA">
        <w:rPr>
          <w:sz w:val="30"/>
        </w:rPr>
        <w:t>по вопросам охраны труда, не использующих выданные им средства индивидуальной защиты, обеспечивающие безо</w:t>
      </w:r>
      <w:r>
        <w:rPr>
          <w:sz w:val="30"/>
        </w:rPr>
        <w:t xml:space="preserve">пасность труда, </w:t>
      </w:r>
      <w:r w:rsidRPr="005D69DA">
        <w:rPr>
          <w:sz w:val="30"/>
        </w:rPr>
        <w:t>не прошедших обязательные медицински</w:t>
      </w:r>
      <w:r>
        <w:rPr>
          <w:sz w:val="30"/>
        </w:rPr>
        <w:t>е осмотры (освидетельствования);</w:t>
      </w:r>
    </w:p>
    <w:p w:rsidR="00FF3C5D" w:rsidRDefault="00FF3C5D" w:rsidP="00FF3C5D">
      <w:pPr>
        <w:ind w:firstLine="709"/>
        <w:jc w:val="both"/>
        <w:rPr>
          <w:iCs/>
          <w:sz w:val="30"/>
          <w:szCs w:val="30"/>
        </w:rPr>
      </w:pPr>
      <w:r w:rsidRPr="005D69DA">
        <w:rPr>
          <w:iCs/>
          <w:sz w:val="30"/>
          <w:szCs w:val="30"/>
        </w:rPr>
        <w:t xml:space="preserve">обеспечить проведение инструктажа по охране труда </w:t>
      </w:r>
      <w:r w:rsidRPr="005D69DA">
        <w:rPr>
          <w:iCs/>
          <w:sz w:val="30"/>
          <w:szCs w:val="30"/>
        </w:rPr>
        <w:br/>
        <w:t xml:space="preserve">с работающими в полном объеме – по инструкциям по охране труда по профессиям и </w:t>
      </w:r>
      <w:r>
        <w:rPr>
          <w:iCs/>
          <w:sz w:val="30"/>
          <w:szCs w:val="30"/>
        </w:rPr>
        <w:t>по всем видам выполняемых работ;</w:t>
      </w:r>
    </w:p>
    <w:p w:rsidR="00FF3C5D" w:rsidRDefault="00FF3C5D" w:rsidP="00FF3C5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о</w:t>
      </w:r>
      <w:r w:rsidRPr="005D69DA">
        <w:rPr>
          <w:sz w:val="30"/>
          <w:szCs w:val="30"/>
        </w:rPr>
        <w:t>беспечить проведение целевого инструктажа по охране труда при выполнении разовых работ, не связанных с прямыми обязанностями по профессии ра</w:t>
      </w:r>
      <w:r>
        <w:rPr>
          <w:sz w:val="30"/>
          <w:szCs w:val="30"/>
        </w:rPr>
        <w:t>бочего либо должности служащего;</w:t>
      </w:r>
    </w:p>
    <w:p w:rsidR="00FF3C5D" w:rsidRPr="005D69DA" w:rsidRDefault="00FF3C5D" w:rsidP="00FF3C5D">
      <w:pPr>
        <w:ind w:firstLine="709"/>
        <w:jc w:val="both"/>
        <w:rPr>
          <w:sz w:val="30"/>
          <w:szCs w:val="30"/>
        </w:rPr>
      </w:pPr>
      <w:r w:rsidRPr="005D69DA">
        <w:rPr>
          <w:sz w:val="30"/>
          <w:szCs w:val="30"/>
        </w:rPr>
        <w:t>обеспечить выдачу и сдачу специальной одежды и средств индивидуальной защиты согласно установленных норм с внесением сведений в личную карточку учета ср</w:t>
      </w:r>
      <w:r>
        <w:rPr>
          <w:sz w:val="30"/>
          <w:szCs w:val="30"/>
        </w:rPr>
        <w:t>едств индивидуальной защиты;</w:t>
      </w:r>
    </w:p>
    <w:p w:rsidR="00FF3C5D" w:rsidRPr="005D69DA" w:rsidRDefault="00FF3C5D" w:rsidP="00FF3C5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5D69DA">
        <w:rPr>
          <w:sz w:val="30"/>
          <w:szCs w:val="30"/>
        </w:rPr>
        <w:t>беспечить соответствие полов зданий и сооружений проектной документации, процессам, протекающим в помещениях</w:t>
      </w:r>
      <w:r>
        <w:rPr>
          <w:sz w:val="30"/>
          <w:szCs w:val="30"/>
        </w:rPr>
        <w:t>;</w:t>
      </w:r>
    </w:p>
    <w:p w:rsidR="00FF3C5D" w:rsidRPr="005D69DA" w:rsidRDefault="00FF3C5D" w:rsidP="00FF3C5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5D69DA">
        <w:rPr>
          <w:sz w:val="30"/>
          <w:szCs w:val="30"/>
        </w:rPr>
        <w:t xml:space="preserve">беспечить соблюдение </w:t>
      </w:r>
      <w:r>
        <w:rPr>
          <w:sz w:val="30"/>
          <w:szCs w:val="30"/>
        </w:rPr>
        <w:t>работающими правил дорожного движения;</w:t>
      </w:r>
    </w:p>
    <w:p w:rsidR="00FF3C5D" w:rsidRPr="005D69DA" w:rsidRDefault="00FF3C5D" w:rsidP="00FF3C5D">
      <w:pPr>
        <w:ind w:firstLine="709"/>
        <w:jc w:val="both"/>
        <w:rPr>
          <w:sz w:val="30"/>
          <w:szCs w:val="30"/>
        </w:rPr>
      </w:pPr>
      <w:r w:rsidRPr="005D69DA">
        <w:rPr>
          <w:sz w:val="30"/>
          <w:szCs w:val="30"/>
        </w:rPr>
        <w:t>не допуска</w:t>
      </w:r>
      <w:r>
        <w:rPr>
          <w:sz w:val="30"/>
          <w:szCs w:val="30"/>
        </w:rPr>
        <w:t xml:space="preserve">ть применения </w:t>
      </w:r>
      <w:r w:rsidRPr="005D69DA">
        <w:rPr>
          <w:sz w:val="30"/>
          <w:szCs w:val="30"/>
        </w:rPr>
        <w:t xml:space="preserve">и хранения веществ (жидкости), содержащейся </w:t>
      </w:r>
      <w:r>
        <w:rPr>
          <w:sz w:val="30"/>
          <w:szCs w:val="30"/>
        </w:rPr>
        <w:t>в необозначенной таре (емкости);</w:t>
      </w:r>
    </w:p>
    <w:p w:rsidR="00FF3C5D" w:rsidRDefault="00FF3C5D" w:rsidP="00FF3C5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о</w:t>
      </w:r>
      <w:r w:rsidRPr="005D69DA">
        <w:rPr>
          <w:sz w:val="30"/>
          <w:szCs w:val="30"/>
        </w:rPr>
        <w:t>беспечить ограждение движущихся частей оборудования, являющихся возможным источником получения травм</w:t>
      </w:r>
      <w:r>
        <w:rPr>
          <w:sz w:val="30"/>
          <w:szCs w:val="30"/>
        </w:rPr>
        <w:t>;</w:t>
      </w:r>
    </w:p>
    <w:p w:rsidR="00110A6D" w:rsidRDefault="00110A6D" w:rsidP="00FF3C5D">
      <w:pPr>
        <w:pStyle w:val="point"/>
        <w:ind w:firstLine="709"/>
        <w:rPr>
          <w:sz w:val="30"/>
          <w:szCs w:val="30"/>
        </w:rPr>
      </w:pPr>
      <w:r w:rsidRPr="005C4587">
        <w:rPr>
          <w:sz w:val="30"/>
          <w:szCs w:val="30"/>
        </w:rPr>
        <w:t xml:space="preserve">обеспечить удержание </w:t>
      </w:r>
      <w:r w:rsidR="005C4587" w:rsidRPr="005C4587">
        <w:rPr>
          <w:sz w:val="30"/>
          <w:szCs w:val="30"/>
        </w:rPr>
        <w:t xml:space="preserve">приставной </w:t>
      </w:r>
      <w:r w:rsidRPr="005C4587">
        <w:rPr>
          <w:sz w:val="30"/>
          <w:szCs w:val="30"/>
        </w:rPr>
        <w:t xml:space="preserve">лестницы в устойчивом положении </w:t>
      </w:r>
      <w:r w:rsidR="00877572" w:rsidRPr="005C4587">
        <w:rPr>
          <w:sz w:val="30"/>
          <w:szCs w:val="30"/>
        </w:rPr>
        <w:t xml:space="preserve">находящимся у ее основания </w:t>
      </w:r>
      <w:r w:rsidRPr="005C4587">
        <w:rPr>
          <w:sz w:val="30"/>
          <w:szCs w:val="30"/>
        </w:rPr>
        <w:t>работником в каске в местах с оживленным движением транспортных средств или людей</w:t>
      </w:r>
      <w:r w:rsidR="00877572" w:rsidRPr="005C4587">
        <w:rPr>
          <w:sz w:val="30"/>
          <w:szCs w:val="30"/>
        </w:rPr>
        <w:t xml:space="preserve"> в случаях, когда невозможно закрепить лестницу при установке ее на гладком полу</w:t>
      </w:r>
      <w:r w:rsidR="005C4587" w:rsidRPr="005C4587">
        <w:rPr>
          <w:sz w:val="30"/>
          <w:szCs w:val="30"/>
        </w:rPr>
        <w:t>;</w:t>
      </w:r>
    </w:p>
    <w:p w:rsidR="00BC503C" w:rsidRPr="005C4587" w:rsidRDefault="00A138DD" w:rsidP="00FF3C5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не допускать</w:t>
      </w:r>
      <w:r w:rsidR="00BC503C">
        <w:rPr>
          <w:sz w:val="30"/>
          <w:szCs w:val="30"/>
        </w:rPr>
        <w:t xml:space="preserve"> эксплуатацию </w:t>
      </w:r>
      <w:r>
        <w:rPr>
          <w:sz w:val="30"/>
          <w:szCs w:val="30"/>
        </w:rPr>
        <w:t>теплогенерирующих аппаратов не промышленного (заводского) исполнения;</w:t>
      </w:r>
    </w:p>
    <w:p w:rsidR="00FF3C5D" w:rsidRPr="005D69DA" w:rsidRDefault="00FF3C5D" w:rsidP="00FF3C5D">
      <w:pPr>
        <w:widowControl w:val="0"/>
        <w:ind w:firstLine="709"/>
        <w:jc w:val="both"/>
        <w:rPr>
          <w:b/>
          <w:sz w:val="30"/>
          <w:szCs w:val="30"/>
        </w:rPr>
      </w:pPr>
      <w:r w:rsidRPr="005D69DA">
        <w:rPr>
          <w:iCs/>
          <w:sz w:val="30"/>
          <w:szCs w:val="30"/>
        </w:rPr>
        <w:t xml:space="preserve">обеспечить </w:t>
      </w:r>
      <w:r w:rsidRPr="005D69DA">
        <w:rPr>
          <w:sz w:val="30"/>
          <w:szCs w:val="30"/>
        </w:rPr>
        <w:t xml:space="preserve">наличие </w:t>
      </w:r>
      <w:r w:rsidRPr="005D69DA">
        <w:rPr>
          <w:bCs/>
          <w:sz w:val="30"/>
          <w:szCs w:val="30"/>
        </w:rPr>
        <w:t xml:space="preserve">локального правового акта по охране труда, содержащего способы и приемы безопасного выполнения работ при подгоне животных, а именно применении работающими необходимого инвентаря для подгона и усмирения животных (ременной кнут, палка-водило, скребки, чистики, </w:t>
      </w:r>
      <w:proofErr w:type="spellStart"/>
      <w:r w:rsidRPr="005D69DA">
        <w:rPr>
          <w:bCs/>
          <w:sz w:val="30"/>
          <w:szCs w:val="30"/>
        </w:rPr>
        <w:t>электропогонялки</w:t>
      </w:r>
      <w:proofErr w:type="spellEnd"/>
      <w:r w:rsidRPr="005D69DA">
        <w:rPr>
          <w:bCs/>
          <w:sz w:val="30"/>
          <w:szCs w:val="30"/>
        </w:rPr>
        <w:t xml:space="preserve"> и иной инвентарь), а также специальных снаряжений и приспособлений (упряжь, привязь, уздечка, недоуздок, </w:t>
      </w:r>
      <w:proofErr w:type="spellStart"/>
      <w:r w:rsidRPr="005D69DA">
        <w:rPr>
          <w:bCs/>
          <w:sz w:val="30"/>
          <w:szCs w:val="30"/>
        </w:rPr>
        <w:t>лейцы</w:t>
      </w:r>
      <w:proofErr w:type="spellEnd"/>
      <w:r w:rsidRPr="005D69DA">
        <w:rPr>
          <w:bCs/>
          <w:sz w:val="30"/>
          <w:szCs w:val="30"/>
        </w:rPr>
        <w:t xml:space="preserve"> и иное);</w:t>
      </w:r>
    </w:p>
    <w:p w:rsidR="00FF3C5D" w:rsidRPr="005D69DA" w:rsidRDefault="00FF3C5D" w:rsidP="00FF3C5D">
      <w:pPr>
        <w:ind w:firstLine="709"/>
        <w:jc w:val="both"/>
        <w:rPr>
          <w:rFonts w:eastAsia="Calibri"/>
          <w:sz w:val="30"/>
          <w:szCs w:val="30"/>
        </w:rPr>
      </w:pPr>
      <w:r w:rsidRPr="005D69DA">
        <w:rPr>
          <w:rFonts w:eastAsia="Calibri"/>
          <w:sz w:val="30"/>
          <w:szCs w:val="30"/>
        </w:rPr>
        <w:t xml:space="preserve">исключить случаи нахождения работающих в групповом станке </w:t>
      </w:r>
      <w:r>
        <w:rPr>
          <w:rFonts w:eastAsia="Calibri"/>
          <w:sz w:val="30"/>
          <w:szCs w:val="30"/>
        </w:rPr>
        <w:br/>
      </w:r>
      <w:r w:rsidRPr="005D69DA">
        <w:rPr>
          <w:rFonts w:eastAsia="Calibri"/>
          <w:sz w:val="30"/>
          <w:szCs w:val="30"/>
        </w:rPr>
        <w:t>с животными без страхующего работника;</w:t>
      </w:r>
    </w:p>
    <w:p w:rsidR="00FF3C5D" w:rsidRDefault="00FF3C5D" w:rsidP="00FF3C5D">
      <w:pPr>
        <w:ind w:firstLine="709"/>
        <w:jc w:val="both"/>
        <w:rPr>
          <w:sz w:val="30"/>
          <w:szCs w:val="30"/>
        </w:rPr>
      </w:pPr>
      <w:r w:rsidRPr="005D69DA">
        <w:rPr>
          <w:sz w:val="30"/>
          <w:szCs w:val="30"/>
        </w:rPr>
        <w:lastRenderedPageBreak/>
        <w:t xml:space="preserve">обеспечить применение работающими необходимого инвентаря для подгона и усмирения животных, а также специальных снаряжений </w:t>
      </w:r>
      <w:r w:rsidRPr="005D69DA">
        <w:rPr>
          <w:sz w:val="30"/>
          <w:szCs w:val="30"/>
        </w:rPr>
        <w:br/>
        <w:t>и приспособлений при выполнении работ по подгону животных</w:t>
      </w:r>
      <w:r w:rsidR="00915CB8">
        <w:rPr>
          <w:sz w:val="30"/>
          <w:szCs w:val="30"/>
        </w:rPr>
        <w:t>;</w:t>
      </w:r>
    </w:p>
    <w:p w:rsidR="00915CB8" w:rsidRPr="005D69DA" w:rsidRDefault="00915CB8" w:rsidP="00FF3C5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допускать агрессивного поведения </w:t>
      </w:r>
      <w:r w:rsidR="001072A2">
        <w:rPr>
          <w:sz w:val="30"/>
          <w:szCs w:val="30"/>
        </w:rPr>
        <w:t xml:space="preserve">и грубого обращения </w:t>
      </w:r>
      <w:r>
        <w:rPr>
          <w:sz w:val="30"/>
          <w:szCs w:val="30"/>
        </w:rPr>
        <w:t>с животными</w:t>
      </w:r>
      <w:r w:rsidR="00A47824">
        <w:rPr>
          <w:sz w:val="30"/>
          <w:szCs w:val="30"/>
        </w:rPr>
        <w:t>.</w:t>
      </w:r>
      <w:bookmarkStart w:id="0" w:name="_GoBack"/>
      <w:bookmarkEnd w:id="0"/>
    </w:p>
    <w:p w:rsidR="00FF3C5D" w:rsidRPr="00D35F44" w:rsidRDefault="00FF3C5D" w:rsidP="00605FD3">
      <w:pPr>
        <w:spacing w:line="240" w:lineRule="exact"/>
        <w:jc w:val="both"/>
        <w:rPr>
          <w:bCs/>
        </w:rPr>
      </w:pPr>
    </w:p>
    <w:sectPr w:rsidR="00FF3C5D" w:rsidRPr="00D35F44" w:rsidSect="0003429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0A1"/>
    <w:multiLevelType w:val="hybridMultilevel"/>
    <w:tmpl w:val="7FE2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4D2AFA"/>
    <w:multiLevelType w:val="hybridMultilevel"/>
    <w:tmpl w:val="B43E302E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12"/>
    <w:rsid w:val="00000716"/>
    <w:rsid w:val="00001642"/>
    <w:rsid w:val="00005072"/>
    <w:rsid w:val="00005681"/>
    <w:rsid w:val="000077E4"/>
    <w:rsid w:val="00007F34"/>
    <w:rsid w:val="0001008F"/>
    <w:rsid w:val="0001165F"/>
    <w:rsid w:val="00011666"/>
    <w:rsid w:val="000126AD"/>
    <w:rsid w:val="00013993"/>
    <w:rsid w:val="000151CE"/>
    <w:rsid w:val="00016DE8"/>
    <w:rsid w:val="00020034"/>
    <w:rsid w:val="00020CBA"/>
    <w:rsid w:val="00022A2C"/>
    <w:rsid w:val="00023033"/>
    <w:rsid w:val="00025989"/>
    <w:rsid w:val="00026687"/>
    <w:rsid w:val="00026770"/>
    <w:rsid w:val="00032A6C"/>
    <w:rsid w:val="00032F18"/>
    <w:rsid w:val="0003429F"/>
    <w:rsid w:val="000361D6"/>
    <w:rsid w:val="00040FB2"/>
    <w:rsid w:val="000418B9"/>
    <w:rsid w:val="00044DCE"/>
    <w:rsid w:val="00047450"/>
    <w:rsid w:val="00047E28"/>
    <w:rsid w:val="0005156C"/>
    <w:rsid w:val="000517F0"/>
    <w:rsid w:val="00052F22"/>
    <w:rsid w:val="00055A4C"/>
    <w:rsid w:val="00056C26"/>
    <w:rsid w:val="00057186"/>
    <w:rsid w:val="00060EE1"/>
    <w:rsid w:val="0006173D"/>
    <w:rsid w:val="00064601"/>
    <w:rsid w:val="000655AF"/>
    <w:rsid w:val="00065A7E"/>
    <w:rsid w:val="00065AD4"/>
    <w:rsid w:val="0006670B"/>
    <w:rsid w:val="00066E47"/>
    <w:rsid w:val="00073B91"/>
    <w:rsid w:val="00074436"/>
    <w:rsid w:val="0007447C"/>
    <w:rsid w:val="0007449D"/>
    <w:rsid w:val="000748B1"/>
    <w:rsid w:val="0008212E"/>
    <w:rsid w:val="0008366A"/>
    <w:rsid w:val="00084E52"/>
    <w:rsid w:val="00085C07"/>
    <w:rsid w:val="0008642F"/>
    <w:rsid w:val="00087120"/>
    <w:rsid w:val="00092ECF"/>
    <w:rsid w:val="00093C9F"/>
    <w:rsid w:val="00093DEF"/>
    <w:rsid w:val="0009422A"/>
    <w:rsid w:val="00094A4A"/>
    <w:rsid w:val="00096116"/>
    <w:rsid w:val="00096409"/>
    <w:rsid w:val="000977F2"/>
    <w:rsid w:val="000A1906"/>
    <w:rsid w:val="000A3CCF"/>
    <w:rsid w:val="000A4176"/>
    <w:rsid w:val="000A61D2"/>
    <w:rsid w:val="000A63B5"/>
    <w:rsid w:val="000A6A78"/>
    <w:rsid w:val="000B01BF"/>
    <w:rsid w:val="000B1431"/>
    <w:rsid w:val="000B2C51"/>
    <w:rsid w:val="000B32D1"/>
    <w:rsid w:val="000B4098"/>
    <w:rsid w:val="000B77A6"/>
    <w:rsid w:val="000C06F2"/>
    <w:rsid w:val="000C0D94"/>
    <w:rsid w:val="000C0EB3"/>
    <w:rsid w:val="000C137B"/>
    <w:rsid w:val="000C19C8"/>
    <w:rsid w:val="000C29EC"/>
    <w:rsid w:val="000C2A0E"/>
    <w:rsid w:val="000C4AC8"/>
    <w:rsid w:val="000C584F"/>
    <w:rsid w:val="000C5DDF"/>
    <w:rsid w:val="000C63F2"/>
    <w:rsid w:val="000C698E"/>
    <w:rsid w:val="000C726E"/>
    <w:rsid w:val="000D0154"/>
    <w:rsid w:val="000D057C"/>
    <w:rsid w:val="000D0C1B"/>
    <w:rsid w:val="000D14FE"/>
    <w:rsid w:val="000D2420"/>
    <w:rsid w:val="000D364F"/>
    <w:rsid w:val="000D372E"/>
    <w:rsid w:val="000D41C6"/>
    <w:rsid w:val="000D679D"/>
    <w:rsid w:val="000D6923"/>
    <w:rsid w:val="000E1407"/>
    <w:rsid w:val="000E1CA7"/>
    <w:rsid w:val="000E2BE9"/>
    <w:rsid w:val="000E4A36"/>
    <w:rsid w:val="000F46B4"/>
    <w:rsid w:val="000F58B6"/>
    <w:rsid w:val="000F6494"/>
    <w:rsid w:val="000F7A65"/>
    <w:rsid w:val="001003E6"/>
    <w:rsid w:val="00100579"/>
    <w:rsid w:val="001015F9"/>
    <w:rsid w:val="00103778"/>
    <w:rsid w:val="001058E8"/>
    <w:rsid w:val="001072A2"/>
    <w:rsid w:val="0010781A"/>
    <w:rsid w:val="00107D24"/>
    <w:rsid w:val="00110A6D"/>
    <w:rsid w:val="001137AF"/>
    <w:rsid w:val="00114662"/>
    <w:rsid w:val="00117067"/>
    <w:rsid w:val="00120C04"/>
    <w:rsid w:val="001227DC"/>
    <w:rsid w:val="001238E2"/>
    <w:rsid w:val="00123C1D"/>
    <w:rsid w:val="00125035"/>
    <w:rsid w:val="001274DA"/>
    <w:rsid w:val="00127695"/>
    <w:rsid w:val="001334D1"/>
    <w:rsid w:val="00140581"/>
    <w:rsid w:val="00143D64"/>
    <w:rsid w:val="00144640"/>
    <w:rsid w:val="00144CB3"/>
    <w:rsid w:val="00152E04"/>
    <w:rsid w:val="0015432C"/>
    <w:rsid w:val="001559FA"/>
    <w:rsid w:val="00165159"/>
    <w:rsid w:val="00165C96"/>
    <w:rsid w:val="00166CF0"/>
    <w:rsid w:val="001707DB"/>
    <w:rsid w:val="0017094A"/>
    <w:rsid w:val="00171146"/>
    <w:rsid w:val="00173089"/>
    <w:rsid w:val="001749E2"/>
    <w:rsid w:val="00175503"/>
    <w:rsid w:val="00175B48"/>
    <w:rsid w:val="00175BD9"/>
    <w:rsid w:val="001760D2"/>
    <w:rsid w:val="0017629B"/>
    <w:rsid w:val="00177114"/>
    <w:rsid w:val="00177DB8"/>
    <w:rsid w:val="00181426"/>
    <w:rsid w:val="0018268D"/>
    <w:rsid w:val="001833BB"/>
    <w:rsid w:val="00183C7B"/>
    <w:rsid w:val="00184F5E"/>
    <w:rsid w:val="001868DD"/>
    <w:rsid w:val="0018737F"/>
    <w:rsid w:val="001903CF"/>
    <w:rsid w:val="00194BD7"/>
    <w:rsid w:val="001A45E4"/>
    <w:rsid w:val="001A5C58"/>
    <w:rsid w:val="001A7179"/>
    <w:rsid w:val="001A7FEA"/>
    <w:rsid w:val="001B0670"/>
    <w:rsid w:val="001B5429"/>
    <w:rsid w:val="001B5D75"/>
    <w:rsid w:val="001B669B"/>
    <w:rsid w:val="001B6FC3"/>
    <w:rsid w:val="001C0A4B"/>
    <w:rsid w:val="001C0C8E"/>
    <w:rsid w:val="001C2DD9"/>
    <w:rsid w:val="001C2E22"/>
    <w:rsid w:val="001C3B4F"/>
    <w:rsid w:val="001C3DDB"/>
    <w:rsid w:val="001C4927"/>
    <w:rsid w:val="001D02B6"/>
    <w:rsid w:val="001D0528"/>
    <w:rsid w:val="001D298B"/>
    <w:rsid w:val="001D2BA5"/>
    <w:rsid w:val="001D2D9E"/>
    <w:rsid w:val="001D3712"/>
    <w:rsid w:val="001D5E6D"/>
    <w:rsid w:val="001D7FF0"/>
    <w:rsid w:val="001E0E94"/>
    <w:rsid w:val="001E1A46"/>
    <w:rsid w:val="001E3553"/>
    <w:rsid w:val="001E36DC"/>
    <w:rsid w:val="001E4895"/>
    <w:rsid w:val="001E51A0"/>
    <w:rsid w:val="001E5800"/>
    <w:rsid w:val="001E5D76"/>
    <w:rsid w:val="001E6F40"/>
    <w:rsid w:val="001E7EA2"/>
    <w:rsid w:val="001F0488"/>
    <w:rsid w:val="001F11A9"/>
    <w:rsid w:val="001F3DE3"/>
    <w:rsid w:val="001F41E9"/>
    <w:rsid w:val="001F46DF"/>
    <w:rsid w:val="001F556E"/>
    <w:rsid w:val="001F62C5"/>
    <w:rsid w:val="001F6451"/>
    <w:rsid w:val="00205839"/>
    <w:rsid w:val="00210B75"/>
    <w:rsid w:val="00211890"/>
    <w:rsid w:val="002136A9"/>
    <w:rsid w:val="00213D1A"/>
    <w:rsid w:val="0021411E"/>
    <w:rsid w:val="00214991"/>
    <w:rsid w:val="00214E4E"/>
    <w:rsid w:val="0021646C"/>
    <w:rsid w:val="0021794C"/>
    <w:rsid w:val="00220929"/>
    <w:rsid w:val="00221930"/>
    <w:rsid w:val="00221E70"/>
    <w:rsid w:val="002224BB"/>
    <w:rsid w:val="00222BDD"/>
    <w:rsid w:val="00224E12"/>
    <w:rsid w:val="00225B46"/>
    <w:rsid w:val="00226BC9"/>
    <w:rsid w:val="00230750"/>
    <w:rsid w:val="00231CE6"/>
    <w:rsid w:val="00234EF2"/>
    <w:rsid w:val="002353D2"/>
    <w:rsid w:val="00235F8A"/>
    <w:rsid w:val="002364C9"/>
    <w:rsid w:val="00236A33"/>
    <w:rsid w:val="00237F8C"/>
    <w:rsid w:val="00240585"/>
    <w:rsid w:val="00243883"/>
    <w:rsid w:val="00244896"/>
    <w:rsid w:val="00245CC3"/>
    <w:rsid w:val="00247725"/>
    <w:rsid w:val="00254935"/>
    <w:rsid w:val="002555CB"/>
    <w:rsid w:val="002567EC"/>
    <w:rsid w:val="00256C64"/>
    <w:rsid w:val="00256E7A"/>
    <w:rsid w:val="00260D3E"/>
    <w:rsid w:val="0026136F"/>
    <w:rsid w:val="00262278"/>
    <w:rsid w:val="00263A4B"/>
    <w:rsid w:val="00264174"/>
    <w:rsid w:val="00264FA8"/>
    <w:rsid w:val="00266534"/>
    <w:rsid w:val="00266CEA"/>
    <w:rsid w:val="0027085B"/>
    <w:rsid w:val="002717DB"/>
    <w:rsid w:val="002723D4"/>
    <w:rsid w:val="00272BC5"/>
    <w:rsid w:val="00272E0E"/>
    <w:rsid w:val="00281EC9"/>
    <w:rsid w:val="0028201A"/>
    <w:rsid w:val="00283C2C"/>
    <w:rsid w:val="002840AF"/>
    <w:rsid w:val="0028465E"/>
    <w:rsid w:val="002859D3"/>
    <w:rsid w:val="00286125"/>
    <w:rsid w:val="00293707"/>
    <w:rsid w:val="002962E8"/>
    <w:rsid w:val="0029778E"/>
    <w:rsid w:val="002A1A1F"/>
    <w:rsid w:val="002A1CB7"/>
    <w:rsid w:val="002A26E1"/>
    <w:rsid w:val="002A53C0"/>
    <w:rsid w:val="002A6109"/>
    <w:rsid w:val="002A6570"/>
    <w:rsid w:val="002A6F90"/>
    <w:rsid w:val="002A7055"/>
    <w:rsid w:val="002A7A87"/>
    <w:rsid w:val="002A7E27"/>
    <w:rsid w:val="002A7E52"/>
    <w:rsid w:val="002B2760"/>
    <w:rsid w:val="002B3CA3"/>
    <w:rsid w:val="002C1CC5"/>
    <w:rsid w:val="002C1E80"/>
    <w:rsid w:val="002C2497"/>
    <w:rsid w:val="002C3103"/>
    <w:rsid w:val="002C392A"/>
    <w:rsid w:val="002D0A6C"/>
    <w:rsid w:val="002D1646"/>
    <w:rsid w:val="002D3425"/>
    <w:rsid w:val="002D38B2"/>
    <w:rsid w:val="002D411A"/>
    <w:rsid w:val="002D4D19"/>
    <w:rsid w:val="002D62BA"/>
    <w:rsid w:val="002D7469"/>
    <w:rsid w:val="002E04E7"/>
    <w:rsid w:val="002E0D80"/>
    <w:rsid w:val="002E2CB4"/>
    <w:rsid w:val="002E41A0"/>
    <w:rsid w:val="002E5A58"/>
    <w:rsid w:val="002E7932"/>
    <w:rsid w:val="002F2A50"/>
    <w:rsid w:val="002F5C92"/>
    <w:rsid w:val="002F7C1B"/>
    <w:rsid w:val="002F7C71"/>
    <w:rsid w:val="00306078"/>
    <w:rsid w:val="0030717E"/>
    <w:rsid w:val="003150D4"/>
    <w:rsid w:val="00315A88"/>
    <w:rsid w:val="00317EA1"/>
    <w:rsid w:val="00320350"/>
    <w:rsid w:val="00320EEA"/>
    <w:rsid w:val="00322DF0"/>
    <w:rsid w:val="0032564B"/>
    <w:rsid w:val="00330ED1"/>
    <w:rsid w:val="003320DF"/>
    <w:rsid w:val="003332E5"/>
    <w:rsid w:val="003333A6"/>
    <w:rsid w:val="003333C0"/>
    <w:rsid w:val="00333D6F"/>
    <w:rsid w:val="00340C46"/>
    <w:rsid w:val="00341148"/>
    <w:rsid w:val="00341C2B"/>
    <w:rsid w:val="003429F1"/>
    <w:rsid w:val="0034446E"/>
    <w:rsid w:val="003471A0"/>
    <w:rsid w:val="00347B75"/>
    <w:rsid w:val="003502C0"/>
    <w:rsid w:val="003524A1"/>
    <w:rsid w:val="003529F3"/>
    <w:rsid w:val="00352BD3"/>
    <w:rsid w:val="00352E6B"/>
    <w:rsid w:val="00356B66"/>
    <w:rsid w:val="00356FA4"/>
    <w:rsid w:val="003573C7"/>
    <w:rsid w:val="00360812"/>
    <w:rsid w:val="00363969"/>
    <w:rsid w:val="003642DE"/>
    <w:rsid w:val="00367922"/>
    <w:rsid w:val="00370940"/>
    <w:rsid w:val="00371617"/>
    <w:rsid w:val="00371A12"/>
    <w:rsid w:val="00371CE7"/>
    <w:rsid w:val="00374092"/>
    <w:rsid w:val="0037426C"/>
    <w:rsid w:val="00381FC5"/>
    <w:rsid w:val="00386B01"/>
    <w:rsid w:val="00391146"/>
    <w:rsid w:val="00394950"/>
    <w:rsid w:val="00395632"/>
    <w:rsid w:val="0039641F"/>
    <w:rsid w:val="003A1F60"/>
    <w:rsid w:val="003A371C"/>
    <w:rsid w:val="003A4C1F"/>
    <w:rsid w:val="003A6BD8"/>
    <w:rsid w:val="003B1E2D"/>
    <w:rsid w:val="003B275A"/>
    <w:rsid w:val="003B2976"/>
    <w:rsid w:val="003B565D"/>
    <w:rsid w:val="003B574C"/>
    <w:rsid w:val="003B5FEE"/>
    <w:rsid w:val="003B6044"/>
    <w:rsid w:val="003B6998"/>
    <w:rsid w:val="003B7AB6"/>
    <w:rsid w:val="003C079C"/>
    <w:rsid w:val="003C1612"/>
    <w:rsid w:val="003C254E"/>
    <w:rsid w:val="003C3353"/>
    <w:rsid w:val="003C476A"/>
    <w:rsid w:val="003C4E84"/>
    <w:rsid w:val="003C4F31"/>
    <w:rsid w:val="003C5B43"/>
    <w:rsid w:val="003C76C0"/>
    <w:rsid w:val="003D2607"/>
    <w:rsid w:val="003D3450"/>
    <w:rsid w:val="003D55AB"/>
    <w:rsid w:val="003D58C5"/>
    <w:rsid w:val="003D60A8"/>
    <w:rsid w:val="003E11A5"/>
    <w:rsid w:val="003E1D9A"/>
    <w:rsid w:val="003E2017"/>
    <w:rsid w:val="003E45D1"/>
    <w:rsid w:val="003F102C"/>
    <w:rsid w:val="003F21A6"/>
    <w:rsid w:val="003F339A"/>
    <w:rsid w:val="003F461B"/>
    <w:rsid w:val="003F4802"/>
    <w:rsid w:val="003F5590"/>
    <w:rsid w:val="003F5F71"/>
    <w:rsid w:val="003F6ECF"/>
    <w:rsid w:val="004008A0"/>
    <w:rsid w:val="004016E6"/>
    <w:rsid w:val="00401CF9"/>
    <w:rsid w:val="0040213C"/>
    <w:rsid w:val="00402A01"/>
    <w:rsid w:val="00402FFD"/>
    <w:rsid w:val="00406150"/>
    <w:rsid w:val="0040624E"/>
    <w:rsid w:val="00406FDB"/>
    <w:rsid w:val="00410E3A"/>
    <w:rsid w:val="00411576"/>
    <w:rsid w:val="004136C1"/>
    <w:rsid w:val="004143C2"/>
    <w:rsid w:val="00415977"/>
    <w:rsid w:val="004167F7"/>
    <w:rsid w:val="00417486"/>
    <w:rsid w:val="0042370C"/>
    <w:rsid w:val="0042541C"/>
    <w:rsid w:val="00427391"/>
    <w:rsid w:val="00427A8B"/>
    <w:rsid w:val="004304DB"/>
    <w:rsid w:val="004311CF"/>
    <w:rsid w:val="00431457"/>
    <w:rsid w:val="00431FBA"/>
    <w:rsid w:val="00433755"/>
    <w:rsid w:val="00436D0A"/>
    <w:rsid w:val="00440CB4"/>
    <w:rsid w:val="00441FD2"/>
    <w:rsid w:val="00443B84"/>
    <w:rsid w:val="00444CA1"/>
    <w:rsid w:val="004503B1"/>
    <w:rsid w:val="004505C5"/>
    <w:rsid w:val="0045071E"/>
    <w:rsid w:val="00452BA3"/>
    <w:rsid w:val="004554D8"/>
    <w:rsid w:val="004566F2"/>
    <w:rsid w:val="00456A27"/>
    <w:rsid w:val="00457A45"/>
    <w:rsid w:val="004604DC"/>
    <w:rsid w:val="004605E0"/>
    <w:rsid w:val="00461CF5"/>
    <w:rsid w:val="00462792"/>
    <w:rsid w:val="0046776A"/>
    <w:rsid w:val="00470B7A"/>
    <w:rsid w:val="004716D1"/>
    <w:rsid w:val="0047309E"/>
    <w:rsid w:val="0047458E"/>
    <w:rsid w:val="004760B1"/>
    <w:rsid w:val="0047775E"/>
    <w:rsid w:val="00477C1E"/>
    <w:rsid w:val="00477C43"/>
    <w:rsid w:val="00480886"/>
    <w:rsid w:val="00480DE5"/>
    <w:rsid w:val="004832BD"/>
    <w:rsid w:val="004845E1"/>
    <w:rsid w:val="0048494D"/>
    <w:rsid w:val="004866BA"/>
    <w:rsid w:val="00487AC7"/>
    <w:rsid w:val="0049058A"/>
    <w:rsid w:val="004906CB"/>
    <w:rsid w:val="00490F54"/>
    <w:rsid w:val="004913D6"/>
    <w:rsid w:val="004968B6"/>
    <w:rsid w:val="004A4127"/>
    <w:rsid w:val="004A43D1"/>
    <w:rsid w:val="004A500A"/>
    <w:rsid w:val="004A6FD4"/>
    <w:rsid w:val="004A71A5"/>
    <w:rsid w:val="004A745E"/>
    <w:rsid w:val="004A7690"/>
    <w:rsid w:val="004A7BAE"/>
    <w:rsid w:val="004B2619"/>
    <w:rsid w:val="004B56C8"/>
    <w:rsid w:val="004B6C44"/>
    <w:rsid w:val="004B72AE"/>
    <w:rsid w:val="004C1898"/>
    <w:rsid w:val="004C1A6B"/>
    <w:rsid w:val="004C2155"/>
    <w:rsid w:val="004C52FF"/>
    <w:rsid w:val="004C7A3F"/>
    <w:rsid w:val="004C7FF8"/>
    <w:rsid w:val="004D01EE"/>
    <w:rsid w:val="004D6136"/>
    <w:rsid w:val="004D61E7"/>
    <w:rsid w:val="004D6C54"/>
    <w:rsid w:val="004D72A1"/>
    <w:rsid w:val="004D733F"/>
    <w:rsid w:val="004E07FA"/>
    <w:rsid w:val="004E264E"/>
    <w:rsid w:val="004E370E"/>
    <w:rsid w:val="004E50D0"/>
    <w:rsid w:val="004E5CD4"/>
    <w:rsid w:val="004E6BD4"/>
    <w:rsid w:val="004F0B0B"/>
    <w:rsid w:val="004F15E7"/>
    <w:rsid w:val="004F42B3"/>
    <w:rsid w:val="004F47D2"/>
    <w:rsid w:val="004F4A6D"/>
    <w:rsid w:val="004F6BD2"/>
    <w:rsid w:val="005002BD"/>
    <w:rsid w:val="00500B57"/>
    <w:rsid w:val="00502821"/>
    <w:rsid w:val="005029B3"/>
    <w:rsid w:val="00502C46"/>
    <w:rsid w:val="00504B4B"/>
    <w:rsid w:val="00506DB6"/>
    <w:rsid w:val="00507176"/>
    <w:rsid w:val="0050778D"/>
    <w:rsid w:val="00507C44"/>
    <w:rsid w:val="0051124E"/>
    <w:rsid w:val="0051433D"/>
    <w:rsid w:val="00514A6B"/>
    <w:rsid w:val="005173EC"/>
    <w:rsid w:val="0052059E"/>
    <w:rsid w:val="00520C05"/>
    <w:rsid w:val="005217E0"/>
    <w:rsid w:val="00521A99"/>
    <w:rsid w:val="00521E44"/>
    <w:rsid w:val="005225BC"/>
    <w:rsid w:val="00522D16"/>
    <w:rsid w:val="0052516F"/>
    <w:rsid w:val="00525939"/>
    <w:rsid w:val="0053002D"/>
    <w:rsid w:val="005315F2"/>
    <w:rsid w:val="00532EBC"/>
    <w:rsid w:val="00534C07"/>
    <w:rsid w:val="00534D45"/>
    <w:rsid w:val="00537CB0"/>
    <w:rsid w:val="0054038C"/>
    <w:rsid w:val="00541316"/>
    <w:rsid w:val="0054427F"/>
    <w:rsid w:val="005452FE"/>
    <w:rsid w:val="00545FD9"/>
    <w:rsid w:val="005524C1"/>
    <w:rsid w:val="005534CE"/>
    <w:rsid w:val="005554BB"/>
    <w:rsid w:val="00555AFC"/>
    <w:rsid w:val="00555CB7"/>
    <w:rsid w:val="00557287"/>
    <w:rsid w:val="005626FB"/>
    <w:rsid w:val="0056441F"/>
    <w:rsid w:val="00566527"/>
    <w:rsid w:val="00566A79"/>
    <w:rsid w:val="00567ED1"/>
    <w:rsid w:val="00570E99"/>
    <w:rsid w:val="0057277B"/>
    <w:rsid w:val="005736C2"/>
    <w:rsid w:val="005738E4"/>
    <w:rsid w:val="00573AEC"/>
    <w:rsid w:val="00573DD0"/>
    <w:rsid w:val="00576317"/>
    <w:rsid w:val="00577762"/>
    <w:rsid w:val="0058220F"/>
    <w:rsid w:val="005829E1"/>
    <w:rsid w:val="00585B63"/>
    <w:rsid w:val="005873AE"/>
    <w:rsid w:val="00587DEB"/>
    <w:rsid w:val="00593B80"/>
    <w:rsid w:val="00594EE6"/>
    <w:rsid w:val="00594F32"/>
    <w:rsid w:val="005966CC"/>
    <w:rsid w:val="00596C2D"/>
    <w:rsid w:val="00597746"/>
    <w:rsid w:val="005A1164"/>
    <w:rsid w:val="005A30DD"/>
    <w:rsid w:val="005A384E"/>
    <w:rsid w:val="005A3D10"/>
    <w:rsid w:val="005A3E94"/>
    <w:rsid w:val="005A6761"/>
    <w:rsid w:val="005A7ACA"/>
    <w:rsid w:val="005B0257"/>
    <w:rsid w:val="005B2B6D"/>
    <w:rsid w:val="005B4878"/>
    <w:rsid w:val="005B491E"/>
    <w:rsid w:val="005B4F1F"/>
    <w:rsid w:val="005B77AB"/>
    <w:rsid w:val="005B7AAA"/>
    <w:rsid w:val="005B7E1D"/>
    <w:rsid w:val="005C29A1"/>
    <w:rsid w:val="005C4587"/>
    <w:rsid w:val="005C6E9F"/>
    <w:rsid w:val="005C7E08"/>
    <w:rsid w:val="005D0A9E"/>
    <w:rsid w:val="005D1528"/>
    <w:rsid w:val="005D234C"/>
    <w:rsid w:val="005D45D4"/>
    <w:rsid w:val="005D561A"/>
    <w:rsid w:val="005D65A5"/>
    <w:rsid w:val="005E44BA"/>
    <w:rsid w:val="005E50F5"/>
    <w:rsid w:val="005F0DF8"/>
    <w:rsid w:val="005F1893"/>
    <w:rsid w:val="005F1F53"/>
    <w:rsid w:val="005F526C"/>
    <w:rsid w:val="005F5A5D"/>
    <w:rsid w:val="005F75CB"/>
    <w:rsid w:val="00600CAF"/>
    <w:rsid w:val="00603C95"/>
    <w:rsid w:val="00605738"/>
    <w:rsid w:val="00605FD3"/>
    <w:rsid w:val="00606B97"/>
    <w:rsid w:val="00606BD9"/>
    <w:rsid w:val="00606DC9"/>
    <w:rsid w:val="00607A3B"/>
    <w:rsid w:val="00607F8D"/>
    <w:rsid w:val="00610846"/>
    <w:rsid w:val="00615938"/>
    <w:rsid w:val="00623F6F"/>
    <w:rsid w:val="00624980"/>
    <w:rsid w:val="006256CC"/>
    <w:rsid w:val="00632A99"/>
    <w:rsid w:val="00632F1B"/>
    <w:rsid w:val="00633C1E"/>
    <w:rsid w:val="006414A0"/>
    <w:rsid w:val="00641FEC"/>
    <w:rsid w:val="00643CAE"/>
    <w:rsid w:val="00644633"/>
    <w:rsid w:val="0064695B"/>
    <w:rsid w:val="00647775"/>
    <w:rsid w:val="006518E9"/>
    <w:rsid w:val="006539BE"/>
    <w:rsid w:val="0065574E"/>
    <w:rsid w:val="00656C10"/>
    <w:rsid w:val="00656D3C"/>
    <w:rsid w:val="00657728"/>
    <w:rsid w:val="00657BEE"/>
    <w:rsid w:val="00657D06"/>
    <w:rsid w:val="00657F08"/>
    <w:rsid w:val="006602C8"/>
    <w:rsid w:val="00660DDF"/>
    <w:rsid w:val="00662BC3"/>
    <w:rsid w:val="00662E4E"/>
    <w:rsid w:val="0066336A"/>
    <w:rsid w:val="00663822"/>
    <w:rsid w:val="006651CE"/>
    <w:rsid w:val="0066682E"/>
    <w:rsid w:val="00666C03"/>
    <w:rsid w:val="0067020B"/>
    <w:rsid w:val="00672504"/>
    <w:rsid w:val="00672839"/>
    <w:rsid w:val="006730BA"/>
    <w:rsid w:val="00676423"/>
    <w:rsid w:val="006766AB"/>
    <w:rsid w:val="00680C67"/>
    <w:rsid w:val="00681BB1"/>
    <w:rsid w:val="006821E1"/>
    <w:rsid w:val="006827DA"/>
    <w:rsid w:val="00687A91"/>
    <w:rsid w:val="00690A5A"/>
    <w:rsid w:val="00693A12"/>
    <w:rsid w:val="00694A3F"/>
    <w:rsid w:val="00694DA9"/>
    <w:rsid w:val="0069571A"/>
    <w:rsid w:val="006961EA"/>
    <w:rsid w:val="00697E55"/>
    <w:rsid w:val="006A6ADC"/>
    <w:rsid w:val="006B0F55"/>
    <w:rsid w:val="006B195C"/>
    <w:rsid w:val="006B1B80"/>
    <w:rsid w:val="006B2DE7"/>
    <w:rsid w:val="006B69BB"/>
    <w:rsid w:val="006B6E2C"/>
    <w:rsid w:val="006B7C20"/>
    <w:rsid w:val="006C062C"/>
    <w:rsid w:val="006C0EA9"/>
    <w:rsid w:val="006C5952"/>
    <w:rsid w:val="006D28A3"/>
    <w:rsid w:val="006D3389"/>
    <w:rsid w:val="006D63B7"/>
    <w:rsid w:val="006D7E9A"/>
    <w:rsid w:val="006E0F6C"/>
    <w:rsid w:val="006E180F"/>
    <w:rsid w:val="006E18A3"/>
    <w:rsid w:val="006E561D"/>
    <w:rsid w:val="006E7D53"/>
    <w:rsid w:val="006F0706"/>
    <w:rsid w:val="006F0F42"/>
    <w:rsid w:val="006F2E61"/>
    <w:rsid w:val="006F3F40"/>
    <w:rsid w:val="006F469D"/>
    <w:rsid w:val="006F542B"/>
    <w:rsid w:val="006F6126"/>
    <w:rsid w:val="006F70A0"/>
    <w:rsid w:val="006F7366"/>
    <w:rsid w:val="006F7D3C"/>
    <w:rsid w:val="007030C5"/>
    <w:rsid w:val="0070460B"/>
    <w:rsid w:val="007053C3"/>
    <w:rsid w:val="007058E0"/>
    <w:rsid w:val="007061CF"/>
    <w:rsid w:val="00707152"/>
    <w:rsid w:val="0071023C"/>
    <w:rsid w:val="00710697"/>
    <w:rsid w:val="00710AD6"/>
    <w:rsid w:val="00714504"/>
    <w:rsid w:val="00715E2E"/>
    <w:rsid w:val="00716EBB"/>
    <w:rsid w:val="007170F6"/>
    <w:rsid w:val="00720D46"/>
    <w:rsid w:val="00721A94"/>
    <w:rsid w:val="00722237"/>
    <w:rsid w:val="007236E4"/>
    <w:rsid w:val="007242D8"/>
    <w:rsid w:val="0072458A"/>
    <w:rsid w:val="00730876"/>
    <w:rsid w:val="00735C26"/>
    <w:rsid w:val="007362BB"/>
    <w:rsid w:val="00737298"/>
    <w:rsid w:val="00737D61"/>
    <w:rsid w:val="00737F8B"/>
    <w:rsid w:val="007420A4"/>
    <w:rsid w:val="00742548"/>
    <w:rsid w:val="00743A46"/>
    <w:rsid w:val="007448CD"/>
    <w:rsid w:val="00744B73"/>
    <w:rsid w:val="0074518C"/>
    <w:rsid w:val="00745717"/>
    <w:rsid w:val="00746AB4"/>
    <w:rsid w:val="00746BCB"/>
    <w:rsid w:val="00746D1C"/>
    <w:rsid w:val="00747155"/>
    <w:rsid w:val="0075087F"/>
    <w:rsid w:val="00750ABF"/>
    <w:rsid w:val="00752A5B"/>
    <w:rsid w:val="00752D02"/>
    <w:rsid w:val="00752DD1"/>
    <w:rsid w:val="007533F9"/>
    <w:rsid w:val="0075691A"/>
    <w:rsid w:val="0076503E"/>
    <w:rsid w:val="0076742F"/>
    <w:rsid w:val="007717A9"/>
    <w:rsid w:val="00771DC3"/>
    <w:rsid w:val="00774855"/>
    <w:rsid w:val="00775C4D"/>
    <w:rsid w:val="00775C89"/>
    <w:rsid w:val="00776309"/>
    <w:rsid w:val="0077763F"/>
    <w:rsid w:val="00784479"/>
    <w:rsid w:val="00785B1E"/>
    <w:rsid w:val="00786522"/>
    <w:rsid w:val="00786630"/>
    <w:rsid w:val="007866B2"/>
    <w:rsid w:val="0079305F"/>
    <w:rsid w:val="0079479C"/>
    <w:rsid w:val="0079672D"/>
    <w:rsid w:val="00797409"/>
    <w:rsid w:val="00797CD5"/>
    <w:rsid w:val="007A0B9F"/>
    <w:rsid w:val="007A3B90"/>
    <w:rsid w:val="007A50FB"/>
    <w:rsid w:val="007A5AE4"/>
    <w:rsid w:val="007A73DF"/>
    <w:rsid w:val="007A7B75"/>
    <w:rsid w:val="007B09F5"/>
    <w:rsid w:val="007B0A15"/>
    <w:rsid w:val="007B1FCA"/>
    <w:rsid w:val="007B34BA"/>
    <w:rsid w:val="007B3A40"/>
    <w:rsid w:val="007B3DB7"/>
    <w:rsid w:val="007B419B"/>
    <w:rsid w:val="007B478E"/>
    <w:rsid w:val="007B59BA"/>
    <w:rsid w:val="007C0207"/>
    <w:rsid w:val="007C2E78"/>
    <w:rsid w:val="007C453F"/>
    <w:rsid w:val="007C6502"/>
    <w:rsid w:val="007D2A0B"/>
    <w:rsid w:val="007D4B07"/>
    <w:rsid w:val="007D5496"/>
    <w:rsid w:val="007E18AB"/>
    <w:rsid w:val="007E4831"/>
    <w:rsid w:val="007E677F"/>
    <w:rsid w:val="007E6D05"/>
    <w:rsid w:val="007F09CF"/>
    <w:rsid w:val="007F4873"/>
    <w:rsid w:val="007F4BC8"/>
    <w:rsid w:val="007F5200"/>
    <w:rsid w:val="007F5AAC"/>
    <w:rsid w:val="007F73C1"/>
    <w:rsid w:val="0080184D"/>
    <w:rsid w:val="00804273"/>
    <w:rsid w:val="00806F02"/>
    <w:rsid w:val="00807E1C"/>
    <w:rsid w:val="00814046"/>
    <w:rsid w:val="00814DD8"/>
    <w:rsid w:val="00814FD8"/>
    <w:rsid w:val="008157F8"/>
    <w:rsid w:val="00816B84"/>
    <w:rsid w:val="00817987"/>
    <w:rsid w:val="00820AF9"/>
    <w:rsid w:val="00820E79"/>
    <w:rsid w:val="008220B3"/>
    <w:rsid w:val="00822C07"/>
    <w:rsid w:val="00824257"/>
    <w:rsid w:val="00825944"/>
    <w:rsid w:val="0082732A"/>
    <w:rsid w:val="00827668"/>
    <w:rsid w:val="008335F4"/>
    <w:rsid w:val="008355CA"/>
    <w:rsid w:val="0083727D"/>
    <w:rsid w:val="00837A2B"/>
    <w:rsid w:val="008405A0"/>
    <w:rsid w:val="00841399"/>
    <w:rsid w:val="00842B46"/>
    <w:rsid w:val="00842D65"/>
    <w:rsid w:val="008434D9"/>
    <w:rsid w:val="0084392F"/>
    <w:rsid w:val="00852669"/>
    <w:rsid w:val="00855BC7"/>
    <w:rsid w:val="00855C13"/>
    <w:rsid w:val="0085641D"/>
    <w:rsid w:val="00857D68"/>
    <w:rsid w:val="00865D12"/>
    <w:rsid w:val="00867A24"/>
    <w:rsid w:val="00872009"/>
    <w:rsid w:val="008725D5"/>
    <w:rsid w:val="008727C6"/>
    <w:rsid w:val="00873ADA"/>
    <w:rsid w:val="00875C0E"/>
    <w:rsid w:val="00875FDF"/>
    <w:rsid w:val="00877572"/>
    <w:rsid w:val="0087769A"/>
    <w:rsid w:val="00877EB8"/>
    <w:rsid w:val="00877F9A"/>
    <w:rsid w:val="00880FB1"/>
    <w:rsid w:val="00883CFB"/>
    <w:rsid w:val="00883F39"/>
    <w:rsid w:val="00883F61"/>
    <w:rsid w:val="00884169"/>
    <w:rsid w:val="00885536"/>
    <w:rsid w:val="008867CF"/>
    <w:rsid w:val="008870C4"/>
    <w:rsid w:val="008909A2"/>
    <w:rsid w:val="00890ABF"/>
    <w:rsid w:val="008919DF"/>
    <w:rsid w:val="00893A2D"/>
    <w:rsid w:val="0089500B"/>
    <w:rsid w:val="0089609D"/>
    <w:rsid w:val="008977E8"/>
    <w:rsid w:val="00897938"/>
    <w:rsid w:val="008A06D8"/>
    <w:rsid w:val="008A0C1A"/>
    <w:rsid w:val="008A1822"/>
    <w:rsid w:val="008A4629"/>
    <w:rsid w:val="008A4D3E"/>
    <w:rsid w:val="008A52EF"/>
    <w:rsid w:val="008B286F"/>
    <w:rsid w:val="008B47D1"/>
    <w:rsid w:val="008B6BA2"/>
    <w:rsid w:val="008C06AB"/>
    <w:rsid w:val="008C0A99"/>
    <w:rsid w:val="008C0B75"/>
    <w:rsid w:val="008C32C1"/>
    <w:rsid w:val="008C387E"/>
    <w:rsid w:val="008C3C73"/>
    <w:rsid w:val="008C497E"/>
    <w:rsid w:val="008C54C0"/>
    <w:rsid w:val="008C7C0F"/>
    <w:rsid w:val="008C7C95"/>
    <w:rsid w:val="008D0BFD"/>
    <w:rsid w:val="008D5CA3"/>
    <w:rsid w:val="008D62DC"/>
    <w:rsid w:val="008D6B9B"/>
    <w:rsid w:val="008D754E"/>
    <w:rsid w:val="008E0642"/>
    <w:rsid w:val="008E1CA6"/>
    <w:rsid w:val="008E1D35"/>
    <w:rsid w:val="008E24BB"/>
    <w:rsid w:val="008E7684"/>
    <w:rsid w:val="008E77FF"/>
    <w:rsid w:val="008F110C"/>
    <w:rsid w:val="008F348B"/>
    <w:rsid w:val="008F3894"/>
    <w:rsid w:val="008F3CB9"/>
    <w:rsid w:val="008F48DD"/>
    <w:rsid w:val="008F4CA4"/>
    <w:rsid w:val="008F5CEF"/>
    <w:rsid w:val="008F69AD"/>
    <w:rsid w:val="00900EBA"/>
    <w:rsid w:val="00902AF2"/>
    <w:rsid w:val="00902F25"/>
    <w:rsid w:val="00903F9D"/>
    <w:rsid w:val="00905169"/>
    <w:rsid w:val="0090790A"/>
    <w:rsid w:val="00907E77"/>
    <w:rsid w:val="0091199F"/>
    <w:rsid w:val="009120A2"/>
    <w:rsid w:val="00913DDF"/>
    <w:rsid w:val="009151EB"/>
    <w:rsid w:val="00915CB8"/>
    <w:rsid w:val="00916883"/>
    <w:rsid w:val="0091766C"/>
    <w:rsid w:val="00917B7F"/>
    <w:rsid w:val="009208B6"/>
    <w:rsid w:val="00920BDF"/>
    <w:rsid w:val="00927D76"/>
    <w:rsid w:val="0093089F"/>
    <w:rsid w:val="00930F9B"/>
    <w:rsid w:val="00934738"/>
    <w:rsid w:val="009371D6"/>
    <w:rsid w:val="009377B7"/>
    <w:rsid w:val="009407CF"/>
    <w:rsid w:val="00940F7D"/>
    <w:rsid w:val="00940F85"/>
    <w:rsid w:val="0094123F"/>
    <w:rsid w:val="00941AA8"/>
    <w:rsid w:val="009452E0"/>
    <w:rsid w:val="00945E67"/>
    <w:rsid w:val="009472D5"/>
    <w:rsid w:val="00950DB1"/>
    <w:rsid w:val="00952223"/>
    <w:rsid w:val="009542B0"/>
    <w:rsid w:val="00954502"/>
    <w:rsid w:val="009545F5"/>
    <w:rsid w:val="00955E87"/>
    <w:rsid w:val="009562CA"/>
    <w:rsid w:val="009565D7"/>
    <w:rsid w:val="00963E3F"/>
    <w:rsid w:val="00963F21"/>
    <w:rsid w:val="00965EF8"/>
    <w:rsid w:val="00970573"/>
    <w:rsid w:val="009709CF"/>
    <w:rsid w:val="009744C0"/>
    <w:rsid w:val="009746BC"/>
    <w:rsid w:val="009748D6"/>
    <w:rsid w:val="0097526C"/>
    <w:rsid w:val="00976D7D"/>
    <w:rsid w:val="009805BB"/>
    <w:rsid w:val="009840F2"/>
    <w:rsid w:val="009850BF"/>
    <w:rsid w:val="0098716A"/>
    <w:rsid w:val="009877D5"/>
    <w:rsid w:val="0099036D"/>
    <w:rsid w:val="00991A34"/>
    <w:rsid w:val="00991E4C"/>
    <w:rsid w:val="00995BE1"/>
    <w:rsid w:val="00995C63"/>
    <w:rsid w:val="0099609C"/>
    <w:rsid w:val="009972B6"/>
    <w:rsid w:val="009A3EFA"/>
    <w:rsid w:val="009A51C0"/>
    <w:rsid w:val="009A6552"/>
    <w:rsid w:val="009B1173"/>
    <w:rsid w:val="009B2502"/>
    <w:rsid w:val="009B2DE7"/>
    <w:rsid w:val="009B329B"/>
    <w:rsid w:val="009B456A"/>
    <w:rsid w:val="009B5B88"/>
    <w:rsid w:val="009C01C8"/>
    <w:rsid w:val="009C0358"/>
    <w:rsid w:val="009C195E"/>
    <w:rsid w:val="009C4796"/>
    <w:rsid w:val="009C6617"/>
    <w:rsid w:val="009C66F0"/>
    <w:rsid w:val="009D32E1"/>
    <w:rsid w:val="009D38F7"/>
    <w:rsid w:val="009D4059"/>
    <w:rsid w:val="009D49E6"/>
    <w:rsid w:val="009D5481"/>
    <w:rsid w:val="009D54D0"/>
    <w:rsid w:val="009D5722"/>
    <w:rsid w:val="009D6A51"/>
    <w:rsid w:val="009D6CAC"/>
    <w:rsid w:val="009D7223"/>
    <w:rsid w:val="009D77EA"/>
    <w:rsid w:val="009E04AA"/>
    <w:rsid w:val="009E0715"/>
    <w:rsid w:val="009E10D2"/>
    <w:rsid w:val="009E2237"/>
    <w:rsid w:val="009E2A2A"/>
    <w:rsid w:val="009E2EA3"/>
    <w:rsid w:val="009E478E"/>
    <w:rsid w:val="009E47B0"/>
    <w:rsid w:val="009E47C5"/>
    <w:rsid w:val="009E5075"/>
    <w:rsid w:val="009F08D9"/>
    <w:rsid w:val="009F0C09"/>
    <w:rsid w:val="009F1C8A"/>
    <w:rsid w:val="009F2E68"/>
    <w:rsid w:val="009F61DC"/>
    <w:rsid w:val="00A05105"/>
    <w:rsid w:val="00A055A5"/>
    <w:rsid w:val="00A05622"/>
    <w:rsid w:val="00A07094"/>
    <w:rsid w:val="00A07E68"/>
    <w:rsid w:val="00A110E6"/>
    <w:rsid w:val="00A1136E"/>
    <w:rsid w:val="00A1175B"/>
    <w:rsid w:val="00A12F87"/>
    <w:rsid w:val="00A1370F"/>
    <w:rsid w:val="00A138DD"/>
    <w:rsid w:val="00A1780B"/>
    <w:rsid w:val="00A17D44"/>
    <w:rsid w:val="00A17E55"/>
    <w:rsid w:val="00A21F31"/>
    <w:rsid w:val="00A220D9"/>
    <w:rsid w:val="00A22125"/>
    <w:rsid w:val="00A26024"/>
    <w:rsid w:val="00A264E6"/>
    <w:rsid w:val="00A27791"/>
    <w:rsid w:val="00A278F0"/>
    <w:rsid w:val="00A325D9"/>
    <w:rsid w:val="00A34CEF"/>
    <w:rsid w:val="00A355AF"/>
    <w:rsid w:val="00A35B41"/>
    <w:rsid w:val="00A4309B"/>
    <w:rsid w:val="00A43CEE"/>
    <w:rsid w:val="00A47407"/>
    <w:rsid w:val="00A47824"/>
    <w:rsid w:val="00A50346"/>
    <w:rsid w:val="00A50859"/>
    <w:rsid w:val="00A5290D"/>
    <w:rsid w:val="00A53D48"/>
    <w:rsid w:val="00A54AAB"/>
    <w:rsid w:val="00A5597B"/>
    <w:rsid w:val="00A56AF4"/>
    <w:rsid w:val="00A57797"/>
    <w:rsid w:val="00A61ABA"/>
    <w:rsid w:val="00A632B5"/>
    <w:rsid w:val="00A65057"/>
    <w:rsid w:val="00A656B3"/>
    <w:rsid w:val="00A702F8"/>
    <w:rsid w:val="00A71E01"/>
    <w:rsid w:val="00A72058"/>
    <w:rsid w:val="00A72735"/>
    <w:rsid w:val="00A7311B"/>
    <w:rsid w:val="00A73EE2"/>
    <w:rsid w:val="00A75348"/>
    <w:rsid w:val="00A76F3F"/>
    <w:rsid w:val="00A77E28"/>
    <w:rsid w:val="00A821B6"/>
    <w:rsid w:val="00A84D63"/>
    <w:rsid w:val="00A8617E"/>
    <w:rsid w:val="00A867F2"/>
    <w:rsid w:val="00A912A2"/>
    <w:rsid w:val="00A914D1"/>
    <w:rsid w:val="00A92F70"/>
    <w:rsid w:val="00A9346C"/>
    <w:rsid w:val="00A94932"/>
    <w:rsid w:val="00AA26B3"/>
    <w:rsid w:val="00AA56F3"/>
    <w:rsid w:val="00AA63EE"/>
    <w:rsid w:val="00AB0AC9"/>
    <w:rsid w:val="00AB1632"/>
    <w:rsid w:val="00AB1F94"/>
    <w:rsid w:val="00AB247A"/>
    <w:rsid w:val="00AB280A"/>
    <w:rsid w:val="00AB3565"/>
    <w:rsid w:val="00AB41DA"/>
    <w:rsid w:val="00AB4C06"/>
    <w:rsid w:val="00AB5237"/>
    <w:rsid w:val="00AB6660"/>
    <w:rsid w:val="00AC05B2"/>
    <w:rsid w:val="00AC1887"/>
    <w:rsid w:val="00AC2B9D"/>
    <w:rsid w:val="00AC36E0"/>
    <w:rsid w:val="00AC3CED"/>
    <w:rsid w:val="00AC3FFD"/>
    <w:rsid w:val="00AC79C7"/>
    <w:rsid w:val="00AD1D19"/>
    <w:rsid w:val="00AD2901"/>
    <w:rsid w:val="00AD2EDC"/>
    <w:rsid w:val="00AD4CDE"/>
    <w:rsid w:val="00AD513A"/>
    <w:rsid w:val="00AD720D"/>
    <w:rsid w:val="00AE0388"/>
    <w:rsid w:val="00AE37B5"/>
    <w:rsid w:val="00AE3B65"/>
    <w:rsid w:val="00AE49A7"/>
    <w:rsid w:val="00AF1B97"/>
    <w:rsid w:val="00AF1DA6"/>
    <w:rsid w:val="00AF29C8"/>
    <w:rsid w:val="00AF58F6"/>
    <w:rsid w:val="00AF639F"/>
    <w:rsid w:val="00AF77A3"/>
    <w:rsid w:val="00B0056F"/>
    <w:rsid w:val="00B0102A"/>
    <w:rsid w:val="00B0239A"/>
    <w:rsid w:val="00B02E69"/>
    <w:rsid w:val="00B03A6A"/>
    <w:rsid w:val="00B0548B"/>
    <w:rsid w:val="00B0584A"/>
    <w:rsid w:val="00B06D9E"/>
    <w:rsid w:val="00B10041"/>
    <w:rsid w:val="00B10C0F"/>
    <w:rsid w:val="00B118E9"/>
    <w:rsid w:val="00B13583"/>
    <w:rsid w:val="00B1467D"/>
    <w:rsid w:val="00B1532A"/>
    <w:rsid w:val="00B16894"/>
    <w:rsid w:val="00B16D40"/>
    <w:rsid w:val="00B1772D"/>
    <w:rsid w:val="00B17BEF"/>
    <w:rsid w:val="00B245C3"/>
    <w:rsid w:val="00B2605B"/>
    <w:rsid w:val="00B26C98"/>
    <w:rsid w:val="00B27763"/>
    <w:rsid w:val="00B30FD5"/>
    <w:rsid w:val="00B3460F"/>
    <w:rsid w:val="00B347EF"/>
    <w:rsid w:val="00B34E23"/>
    <w:rsid w:val="00B34E62"/>
    <w:rsid w:val="00B35AB9"/>
    <w:rsid w:val="00B4239E"/>
    <w:rsid w:val="00B44D73"/>
    <w:rsid w:val="00B45449"/>
    <w:rsid w:val="00B45C56"/>
    <w:rsid w:val="00B4604A"/>
    <w:rsid w:val="00B4692D"/>
    <w:rsid w:val="00B474A0"/>
    <w:rsid w:val="00B47BA5"/>
    <w:rsid w:val="00B51B0E"/>
    <w:rsid w:val="00B51C0E"/>
    <w:rsid w:val="00B535A8"/>
    <w:rsid w:val="00B5376E"/>
    <w:rsid w:val="00B55042"/>
    <w:rsid w:val="00B5521B"/>
    <w:rsid w:val="00B55801"/>
    <w:rsid w:val="00B563AA"/>
    <w:rsid w:val="00B57945"/>
    <w:rsid w:val="00B60402"/>
    <w:rsid w:val="00B60F6D"/>
    <w:rsid w:val="00B619BF"/>
    <w:rsid w:val="00B62A60"/>
    <w:rsid w:val="00B634A3"/>
    <w:rsid w:val="00B63FE9"/>
    <w:rsid w:val="00B70E8B"/>
    <w:rsid w:val="00B70FF7"/>
    <w:rsid w:val="00B713BD"/>
    <w:rsid w:val="00B73D56"/>
    <w:rsid w:val="00B73FB3"/>
    <w:rsid w:val="00B7458D"/>
    <w:rsid w:val="00B74C34"/>
    <w:rsid w:val="00B76F51"/>
    <w:rsid w:val="00B77EFD"/>
    <w:rsid w:val="00B77FBC"/>
    <w:rsid w:val="00B80CFA"/>
    <w:rsid w:val="00B81609"/>
    <w:rsid w:val="00B8384F"/>
    <w:rsid w:val="00B8392F"/>
    <w:rsid w:val="00B83E3E"/>
    <w:rsid w:val="00B849A2"/>
    <w:rsid w:val="00B87E9B"/>
    <w:rsid w:val="00B90C94"/>
    <w:rsid w:val="00B9173F"/>
    <w:rsid w:val="00B92F4A"/>
    <w:rsid w:val="00B93B5E"/>
    <w:rsid w:val="00B93D3C"/>
    <w:rsid w:val="00B94061"/>
    <w:rsid w:val="00B94A3F"/>
    <w:rsid w:val="00B9525A"/>
    <w:rsid w:val="00B96131"/>
    <w:rsid w:val="00B97902"/>
    <w:rsid w:val="00BA2FC4"/>
    <w:rsid w:val="00BA4812"/>
    <w:rsid w:val="00BA7C6D"/>
    <w:rsid w:val="00BB1080"/>
    <w:rsid w:val="00BB15ED"/>
    <w:rsid w:val="00BB170F"/>
    <w:rsid w:val="00BB1758"/>
    <w:rsid w:val="00BB1DE8"/>
    <w:rsid w:val="00BB218E"/>
    <w:rsid w:val="00BB3BBD"/>
    <w:rsid w:val="00BB68E9"/>
    <w:rsid w:val="00BB7D92"/>
    <w:rsid w:val="00BC0BA3"/>
    <w:rsid w:val="00BC1A95"/>
    <w:rsid w:val="00BC2001"/>
    <w:rsid w:val="00BC2AB8"/>
    <w:rsid w:val="00BC3540"/>
    <w:rsid w:val="00BC503C"/>
    <w:rsid w:val="00BC535E"/>
    <w:rsid w:val="00BC71A0"/>
    <w:rsid w:val="00BC77A9"/>
    <w:rsid w:val="00BD109F"/>
    <w:rsid w:val="00BD26AC"/>
    <w:rsid w:val="00BE01DC"/>
    <w:rsid w:val="00BE0845"/>
    <w:rsid w:val="00BE09E1"/>
    <w:rsid w:val="00BE3DC6"/>
    <w:rsid w:val="00BE49AA"/>
    <w:rsid w:val="00BE4CCC"/>
    <w:rsid w:val="00BE5B72"/>
    <w:rsid w:val="00BE5E87"/>
    <w:rsid w:val="00BE6C39"/>
    <w:rsid w:val="00BE781E"/>
    <w:rsid w:val="00BF0264"/>
    <w:rsid w:val="00BF2617"/>
    <w:rsid w:val="00BF34E5"/>
    <w:rsid w:val="00BF6ADC"/>
    <w:rsid w:val="00BF71E3"/>
    <w:rsid w:val="00BF73A6"/>
    <w:rsid w:val="00C00820"/>
    <w:rsid w:val="00C04929"/>
    <w:rsid w:val="00C05F3C"/>
    <w:rsid w:val="00C06D39"/>
    <w:rsid w:val="00C079B5"/>
    <w:rsid w:val="00C10BFA"/>
    <w:rsid w:val="00C13833"/>
    <w:rsid w:val="00C144F7"/>
    <w:rsid w:val="00C14E9D"/>
    <w:rsid w:val="00C16ECF"/>
    <w:rsid w:val="00C20460"/>
    <w:rsid w:val="00C23BAE"/>
    <w:rsid w:val="00C25B31"/>
    <w:rsid w:val="00C303DC"/>
    <w:rsid w:val="00C30A09"/>
    <w:rsid w:val="00C32D67"/>
    <w:rsid w:val="00C4092C"/>
    <w:rsid w:val="00C4237B"/>
    <w:rsid w:val="00C42DAB"/>
    <w:rsid w:val="00C4405D"/>
    <w:rsid w:val="00C45FFF"/>
    <w:rsid w:val="00C508EB"/>
    <w:rsid w:val="00C5347D"/>
    <w:rsid w:val="00C557B5"/>
    <w:rsid w:val="00C55E14"/>
    <w:rsid w:val="00C56152"/>
    <w:rsid w:val="00C57730"/>
    <w:rsid w:val="00C57C0D"/>
    <w:rsid w:val="00C6003C"/>
    <w:rsid w:val="00C60E3E"/>
    <w:rsid w:val="00C621A8"/>
    <w:rsid w:val="00C63620"/>
    <w:rsid w:val="00C639EC"/>
    <w:rsid w:val="00C63F69"/>
    <w:rsid w:val="00C65023"/>
    <w:rsid w:val="00C7161F"/>
    <w:rsid w:val="00C72E56"/>
    <w:rsid w:val="00C73928"/>
    <w:rsid w:val="00C75534"/>
    <w:rsid w:val="00C75ECF"/>
    <w:rsid w:val="00C8007F"/>
    <w:rsid w:val="00C80B30"/>
    <w:rsid w:val="00C8110B"/>
    <w:rsid w:val="00C81BBB"/>
    <w:rsid w:val="00C83F98"/>
    <w:rsid w:val="00C84D93"/>
    <w:rsid w:val="00C86423"/>
    <w:rsid w:val="00C93A7A"/>
    <w:rsid w:val="00C95FD5"/>
    <w:rsid w:val="00C96A4C"/>
    <w:rsid w:val="00C9733D"/>
    <w:rsid w:val="00CA2A5E"/>
    <w:rsid w:val="00CA3612"/>
    <w:rsid w:val="00CA5B45"/>
    <w:rsid w:val="00CA64CD"/>
    <w:rsid w:val="00CA7F11"/>
    <w:rsid w:val="00CB0777"/>
    <w:rsid w:val="00CB2FD5"/>
    <w:rsid w:val="00CB337F"/>
    <w:rsid w:val="00CB3448"/>
    <w:rsid w:val="00CB3C0F"/>
    <w:rsid w:val="00CB509C"/>
    <w:rsid w:val="00CB5FB0"/>
    <w:rsid w:val="00CB7B70"/>
    <w:rsid w:val="00CC111F"/>
    <w:rsid w:val="00CC135E"/>
    <w:rsid w:val="00CC2636"/>
    <w:rsid w:val="00CC2AED"/>
    <w:rsid w:val="00CC3024"/>
    <w:rsid w:val="00CC352D"/>
    <w:rsid w:val="00CC637A"/>
    <w:rsid w:val="00CC6674"/>
    <w:rsid w:val="00CC73B4"/>
    <w:rsid w:val="00CD1027"/>
    <w:rsid w:val="00CD14E1"/>
    <w:rsid w:val="00CD4FD6"/>
    <w:rsid w:val="00CD5696"/>
    <w:rsid w:val="00CD6683"/>
    <w:rsid w:val="00CD6CB1"/>
    <w:rsid w:val="00CE1283"/>
    <w:rsid w:val="00CE46C5"/>
    <w:rsid w:val="00CE4E9C"/>
    <w:rsid w:val="00CE593A"/>
    <w:rsid w:val="00CE66C0"/>
    <w:rsid w:val="00CE7538"/>
    <w:rsid w:val="00CF0163"/>
    <w:rsid w:val="00CF044A"/>
    <w:rsid w:val="00CF0B1C"/>
    <w:rsid w:val="00CF0D26"/>
    <w:rsid w:val="00CF305A"/>
    <w:rsid w:val="00CF373A"/>
    <w:rsid w:val="00CF3CD0"/>
    <w:rsid w:val="00CF4001"/>
    <w:rsid w:val="00CF4CB4"/>
    <w:rsid w:val="00CF5608"/>
    <w:rsid w:val="00CF70F4"/>
    <w:rsid w:val="00D0128C"/>
    <w:rsid w:val="00D02078"/>
    <w:rsid w:val="00D0257E"/>
    <w:rsid w:val="00D02FB7"/>
    <w:rsid w:val="00D04219"/>
    <w:rsid w:val="00D05030"/>
    <w:rsid w:val="00D0761D"/>
    <w:rsid w:val="00D11229"/>
    <w:rsid w:val="00D124D5"/>
    <w:rsid w:val="00D143D7"/>
    <w:rsid w:val="00D14732"/>
    <w:rsid w:val="00D16355"/>
    <w:rsid w:val="00D176CA"/>
    <w:rsid w:val="00D22590"/>
    <w:rsid w:val="00D23D23"/>
    <w:rsid w:val="00D23D52"/>
    <w:rsid w:val="00D24373"/>
    <w:rsid w:val="00D2781E"/>
    <w:rsid w:val="00D30871"/>
    <w:rsid w:val="00D33FD5"/>
    <w:rsid w:val="00D34164"/>
    <w:rsid w:val="00D35A0B"/>
    <w:rsid w:val="00D35CF2"/>
    <w:rsid w:val="00D35F44"/>
    <w:rsid w:val="00D36C8D"/>
    <w:rsid w:val="00D3705D"/>
    <w:rsid w:val="00D406AE"/>
    <w:rsid w:val="00D40794"/>
    <w:rsid w:val="00D41588"/>
    <w:rsid w:val="00D42303"/>
    <w:rsid w:val="00D4384D"/>
    <w:rsid w:val="00D44C06"/>
    <w:rsid w:val="00D46C58"/>
    <w:rsid w:val="00D471F9"/>
    <w:rsid w:val="00D47F92"/>
    <w:rsid w:val="00D507C5"/>
    <w:rsid w:val="00D52103"/>
    <w:rsid w:val="00D52256"/>
    <w:rsid w:val="00D5593F"/>
    <w:rsid w:val="00D61663"/>
    <w:rsid w:val="00D617AF"/>
    <w:rsid w:val="00D62208"/>
    <w:rsid w:val="00D6222C"/>
    <w:rsid w:val="00D64233"/>
    <w:rsid w:val="00D65C5E"/>
    <w:rsid w:val="00D65CD8"/>
    <w:rsid w:val="00D65E3F"/>
    <w:rsid w:val="00D662EE"/>
    <w:rsid w:val="00D66C20"/>
    <w:rsid w:val="00D7273B"/>
    <w:rsid w:val="00D72788"/>
    <w:rsid w:val="00D733B4"/>
    <w:rsid w:val="00D76019"/>
    <w:rsid w:val="00D81276"/>
    <w:rsid w:val="00D8509A"/>
    <w:rsid w:val="00D856EA"/>
    <w:rsid w:val="00D8619D"/>
    <w:rsid w:val="00D863B5"/>
    <w:rsid w:val="00D91D50"/>
    <w:rsid w:val="00D91FD2"/>
    <w:rsid w:val="00D93698"/>
    <w:rsid w:val="00D94971"/>
    <w:rsid w:val="00D9534E"/>
    <w:rsid w:val="00D95CDD"/>
    <w:rsid w:val="00D974D9"/>
    <w:rsid w:val="00DA21D9"/>
    <w:rsid w:val="00DA4565"/>
    <w:rsid w:val="00DA5800"/>
    <w:rsid w:val="00DB00B2"/>
    <w:rsid w:val="00DB0BE3"/>
    <w:rsid w:val="00DB4BC3"/>
    <w:rsid w:val="00DB727E"/>
    <w:rsid w:val="00DC1F5C"/>
    <w:rsid w:val="00DC42F6"/>
    <w:rsid w:val="00DC7565"/>
    <w:rsid w:val="00DC7980"/>
    <w:rsid w:val="00DD0014"/>
    <w:rsid w:val="00DD034A"/>
    <w:rsid w:val="00DD08A7"/>
    <w:rsid w:val="00DD11BC"/>
    <w:rsid w:val="00DD1FD7"/>
    <w:rsid w:val="00DD3CAA"/>
    <w:rsid w:val="00DD4111"/>
    <w:rsid w:val="00DD4176"/>
    <w:rsid w:val="00DD4A59"/>
    <w:rsid w:val="00DD6483"/>
    <w:rsid w:val="00DD7868"/>
    <w:rsid w:val="00DD7D03"/>
    <w:rsid w:val="00DE1F9E"/>
    <w:rsid w:val="00DE27D2"/>
    <w:rsid w:val="00DE2CB1"/>
    <w:rsid w:val="00DE3DC4"/>
    <w:rsid w:val="00DE5611"/>
    <w:rsid w:val="00DE579D"/>
    <w:rsid w:val="00DE5BF7"/>
    <w:rsid w:val="00DE5C22"/>
    <w:rsid w:val="00DE7372"/>
    <w:rsid w:val="00DE7B37"/>
    <w:rsid w:val="00DF074F"/>
    <w:rsid w:val="00DF1875"/>
    <w:rsid w:val="00DF3ECA"/>
    <w:rsid w:val="00E01309"/>
    <w:rsid w:val="00E03602"/>
    <w:rsid w:val="00E03F12"/>
    <w:rsid w:val="00E04D26"/>
    <w:rsid w:val="00E07020"/>
    <w:rsid w:val="00E07D3D"/>
    <w:rsid w:val="00E103D2"/>
    <w:rsid w:val="00E11744"/>
    <w:rsid w:val="00E12F16"/>
    <w:rsid w:val="00E1573E"/>
    <w:rsid w:val="00E15C14"/>
    <w:rsid w:val="00E16D53"/>
    <w:rsid w:val="00E20BC6"/>
    <w:rsid w:val="00E21A28"/>
    <w:rsid w:val="00E23985"/>
    <w:rsid w:val="00E246EF"/>
    <w:rsid w:val="00E260CC"/>
    <w:rsid w:val="00E262FD"/>
    <w:rsid w:val="00E273EA"/>
    <w:rsid w:val="00E3217B"/>
    <w:rsid w:val="00E33381"/>
    <w:rsid w:val="00E34349"/>
    <w:rsid w:val="00E36AF0"/>
    <w:rsid w:val="00E4039E"/>
    <w:rsid w:val="00E40E9A"/>
    <w:rsid w:val="00E41F92"/>
    <w:rsid w:val="00E4331F"/>
    <w:rsid w:val="00E44413"/>
    <w:rsid w:val="00E44651"/>
    <w:rsid w:val="00E44BF3"/>
    <w:rsid w:val="00E44E35"/>
    <w:rsid w:val="00E456D3"/>
    <w:rsid w:val="00E45EC1"/>
    <w:rsid w:val="00E47FBD"/>
    <w:rsid w:val="00E52018"/>
    <w:rsid w:val="00E572AD"/>
    <w:rsid w:val="00E57602"/>
    <w:rsid w:val="00E6084A"/>
    <w:rsid w:val="00E60E49"/>
    <w:rsid w:val="00E62011"/>
    <w:rsid w:val="00E625F0"/>
    <w:rsid w:val="00E62DB6"/>
    <w:rsid w:val="00E63179"/>
    <w:rsid w:val="00E63975"/>
    <w:rsid w:val="00E64EBC"/>
    <w:rsid w:val="00E66E56"/>
    <w:rsid w:val="00E707C0"/>
    <w:rsid w:val="00E73B01"/>
    <w:rsid w:val="00E7433F"/>
    <w:rsid w:val="00E759A0"/>
    <w:rsid w:val="00E76274"/>
    <w:rsid w:val="00E80D9B"/>
    <w:rsid w:val="00E835E2"/>
    <w:rsid w:val="00E83D45"/>
    <w:rsid w:val="00E83EF8"/>
    <w:rsid w:val="00E85800"/>
    <w:rsid w:val="00E85919"/>
    <w:rsid w:val="00E9093A"/>
    <w:rsid w:val="00E91D0D"/>
    <w:rsid w:val="00E92D69"/>
    <w:rsid w:val="00E93246"/>
    <w:rsid w:val="00E94443"/>
    <w:rsid w:val="00E9472A"/>
    <w:rsid w:val="00E95A7A"/>
    <w:rsid w:val="00EA0BB0"/>
    <w:rsid w:val="00EA1D59"/>
    <w:rsid w:val="00EA2F82"/>
    <w:rsid w:val="00EA5BEF"/>
    <w:rsid w:val="00EA6AC9"/>
    <w:rsid w:val="00EA720C"/>
    <w:rsid w:val="00EA7C5E"/>
    <w:rsid w:val="00EB000F"/>
    <w:rsid w:val="00EB08BA"/>
    <w:rsid w:val="00EB1263"/>
    <w:rsid w:val="00EB1CE1"/>
    <w:rsid w:val="00EB212D"/>
    <w:rsid w:val="00EB228E"/>
    <w:rsid w:val="00EB23F7"/>
    <w:rsid w:val="00EB4FDD"/>
    <w:rsid w:val="00EB50DD"/>
    <w:rsid w:val="00EB536E"/>
    <w:rsid w:val="00EB5A06"/>
    <w:rsid w:val="00EB5A5E"/>
    <w:rsid w:val="00EB5E5D"/>
    <w:rsid w:val="00EC039A"/>
    <w:rsid w:val="00EC18B9"/>
    <w:rsid w:val="00EC5A45"/>
    <w:rsid w:val="00EC66C1"/>
    <w:rsid w:val="00EC7D2D"/>
    <w:rsid w:val="00ED013A"/>
    <w:rsid w:val="00ED1B54"/>
    <w:rsid w:val="00ED3665"/>
    <w:rsid w:val="00EE045F"/>
    <w:rsid w:val="00EE2C0E"/>
    <w:rsid w:val="00EE382F"/>
    <w:rsid w:val="00EE3840"/>
    <w:rsid w:val="00EE646D"/>
    <w:rsid w:val="00EE6D82"/>
    <w:rsid w:val="00EF0DAA"/>
    <w:rsid w:val="00EF21ED"/>
    <w:rsid w:val="00EF29F7"/>
    <w:rsid w:val="00EF2D10"/>
    <w:rsid w:val="00EF2E06"/>
    <w:rsid w:val="00EF5F98"/>
    <w:rsid w:val="00F01035"/>
    <w:rsid w:val="00F027BD"/>
    <w:rsid w:val="00F05E39"/>
    <w:rsid w:val="00F10F7B"/>
    <w:rsid w:val="00F11379"/>
    <w:rsid w:val="00F12715"/>
    <w:rsid w:val="00F1308B"/>
    <w:rsid w:val="00F1418F"/>
    <w:rsid w:val="00F162B2"/>
    <w:rsid w:val="00F205C1"/>
    <w:rsid w:val="00F221A3"/>
    <w:rsid w:val="00F240AB"/>
    <w:rsid w:val="00F24A46"/>
    <w:rsid w:val="00F25CFC"/>
    <w:rsid w:val="00F2688D"/>
    <w:rsid w:val="00F272A7"/>
    <w:rsid w:val="00F274EA"/>
    <w:rsid w:val="00F31261"/>
    <w:rsid w:val="00F319E3"/>
    <w:rsid w:val="00F32502"/>
    <w:rsid w:val="00F3611C"/>
    <w:rsid w:val="00F3628A"/>
    <w:rsid w:val="00F40797"/>
    <w:rsid w:val="00F41892"/>
    <w:rsid w:val="00F41BFE"/>
    <w:rsid w:val="00F41F5C"/>
    <w:rsid w:val="00F443D0"/>
    <w:rsid w:val="00F458AF"/>
    <w:rsid w:val="00F465DC"/>
    <w:rsid w:val="00F46F88"/>
    <w:rsid w:val="00F51EDC"/>
    <w:rsid w:val="00F55A95"/>
    <w:rsid w:val="00F55AD7"/>
    <w:rsid w:val="00F57430"/>
    <w:rsid w:val="00F609C7"/>
    <w:rsid w:val="00F635AC"/>
    <w:rsid w:val="00F63D5D"/>
    <w:rsid w:val="00F63E12"/>
    <w:rsid w:val="00F64A9E"/>
    <w:rsid w:val="00F703A2"/>
    <w:rsid w:val="00F734CE"/>
    <w:rsid w:val="00F73CFE"/>
    <w:rsid w:val="00F74571"/>
    <w:rsid w:val="00F75E57"/>
    <w:rsid w:val="00F76060"/>
    <w:rsid w:val="00F768FC"/>
    <w:rsid w:val="00F85698"/>
    <w:rsid w:val="00F85B4C"/>
    <w:rsid w:val="00F92072"/>
    <w:rsid w:val="00F941BA"/>
    <w:rsid w:val="00F97002"/>
    <w:rsid w:val="00F97459"/>
    <w:rsid w:val="00FA3B93"/>
    <w:rsid w:val="00FA41CC"/>
    <w:rsid w:val="00FB0A3B"/>
    <w:rsid w:val="00FB0EA6"/>
    <w:rsid w:val="00FB12ED"/>
    <w:rsid w:val="00FB1B7F"/>
    <w:rsid w:val="00FB25C2"/>
    <w:rsid w:val="00FB3A95"/>
    <w:rsid w:val="00FB5D93"/>
    <w:rsid w:val="00FB652E"/>
    <w:rsid w:val="00FB6D24"/>
    <w:rsid w:val="00FC208A"/>
    <w:rsid w:val="00FC2BBA"/>
    <w:rsid w:val="00FC2FDA"/>
    <w:rsid w:val="00FD06CB"/>
    <w:rsid w:val="00FD0AA4"/>
    <w:rsid w:val="00FD28B0"/>
    <w:rsid w:val="00FD5285"/>
    <w:rsid w:val="00FD5597"/>
    <w:rsid w:val="00FD5A2F"/>
    <w:rsid w:val="00FD6460"/>
    <w:rsid w:val="00FD7B27"/>
    <w:rsid w:val="00FE2D58"/>
    <w:rsid w:val="00FE2F41"/>
    <w:rsid w:val="00FE359D"/>
    <w:rsid w:val="00FE3C31"/>
    <w:rsid w:val="00FE5F6C"/>
    <w:rsid w:val="00FE7C06"/>
    <w:rsid w:val="00FF0259"/>
    <w:rsid w:val="00FF13A4"/>
    <w:rsid w:val="00FF1BDB"/>
    <w:rsid w:val="00FF1E28"/>
    <w:rsid w:val="00FF2526"/>
    <w:rsid w:val="00FF27AE"/>
    <w:rsid w:val="00FF381C"/>
    <w:rsid w:val="00FF3C5D"/>
    <w:rsid w:val="00FF4983"/>
    <w:rsid w:val="00FF5B01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B600-2518-49B3-B23D-B87EF90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E6D05"/>
    <w:pPr>
      <w:ind w:left="720"/>
      <w:contextualSpacing/>
    </w:pPr>
  </w:style>
  <w:style w:type="paragraph" w:styleId="a6">
    <w:name w:val="Body Text Indent"/>
    <w:basedOn w:val="a"/>
    <w:link w:val="a7"/>
    <w:rsid w:val="00FF3C5D"/>
    <w:pPr>
      <w:ind w:firstLine="709"/>
    </w:pPr>
    <w:rPr>
      <w:szCs w:val="30"/>
    </w:rPr>
  </w:style>
  <w:style w:type="character" w:customStyle="1" w:styleId="a7">
    <w:name w:val="Основной текст с отступом Знак"/>
    <w:basedOn w:val="a0"/>
    <w:link w:val="a6"/>
    <w:rsid w:val="00FF3C5D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point">
    <w:name w:val="point"/>
    <w:basedOn w:val="a"/>
    <w:rsid w:val="00FF3C5D"/>
    <w:pPr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depthPercent val="2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4.8468501876825838E-2"/>
          <c:y val="5.1643192488262914E-2"/>
          <c:w val="0.92850690367000832"/>
          <c:h val="0.622087434383202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 prst="convex"/>
            </a:sp3d>
          </c:spPr>
          <c:invertIfNegative val="0"/>
          <c:dLbls>
            <c:dLbl>
              <c:idx val="0"/>
              <c:layout>
                <c:manualLayout>
                  <c:x val="6.27951725814493E-3"/>
                  <c:y val="9.296133656369876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53689167974882E-2"/>
                      <c:h val="7.516025641025640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0465724751438961E-2"/>
                  <c:y val="-3.872652937613567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смертельным исходом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3725798011512302E-3"/>
                  <c:y val="-9.8824786324786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931449502878076E-3"/>
                  <c:y val="-9.8824786324786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тяжелым исходом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372579801151192E-3"/>
                  <c:y val="-4.273504273504322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862899005756151E-3"/>
                  <c:y val="-9.7487213136820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травмы не относятся к тяжелым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4.1862899005756151E-3"/>
                  <c:y val="-1.00162359512753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862899005756151E-3"/>
                  <c:y val="-4.540598290598315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0714B45-C65F-42C5-B415-9A2BAF4982BC}" type="VALUE">
                      <a:rPr lang="en-US">
                        <a:solidFill>
                          <a:srgbClr val="FF0000"/>
                        </a:solidFill>
                      </a:rPr>
                      <a:pPr>
                        <a:defRPr sz="1050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21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shape val="box"/>
        <c:axId val="272141872"/>
        <c:axId val="272143552"/>
        <c:axId val="0"/>
      </c:bar3DChart>
      <c:catAx>
        <c:axId val="27214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2143552"/>
        <c:crosses val="autoZero"/>
        <c:auto val="1"/>
        <c:lblAlgn val="ctr"/>
        <c:lblOffset val="100"/>
        <c:noMultiLvlLbl val="0"/>
      </c:catAx>
      <c:valAx>
        <c:axId val="272143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2141872"/>
        <c:crosses val="autoZero"/>
        <c:crossBetween val="between"/>
      </c:valAx>
      <c:spPr>
        <a:noFill/>
        <a:ln>
          <a:noFill/>
        </a:ln>
        <a:effectLst>
          <a:glow>
            <a:schemeClr val="accent1">
              <a:alpha val="40000"/>
            </a:schemeClr>
          </a:glow>
          <a:softEdge rad="0"/>
        </a:effectLst>
      </c:spPr>
    </c:plotArea>
    <c:legend>
      <c:legendPos val="b"/>
      <c:layout>
        <c:manualLayout>
          <c:xMode val="edge"/>
          <c:yMode val="edge"/>
          <c:x val="2.3735439663448658E-2"/>
          <c:y val="0.78841400834511077"/>
          <c:w val="0.92243645368504756"/>
          <c:h val="0.1802928149606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Удельный вес потерпевших по видам деятельности организаций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7481088906107213"/>
          <c:y val="0.16465719801340847"/>
          <c:w val="0.25484599804226976"/>
          <c:h val="0.4898317347514901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потерпевших по видам деятельности организаций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4"/>
          <c:dPt>
            <c:idx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8.0419970959454926E-2"/>
                  <c:y val="-7.5471698113207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718306712833609E-2"/>
                  <c:y val="-7.5471698113207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275885178152566"/>
                  <c:y val="-1.6771488469601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057187534904498E-2"/>
                  <c:y val="5.0314465408804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сельское хозяйство</c:v>
                </c:pt>
                <c:pt idx="1">
                  <c:v>прочие виды деятельности</c:v>
                </c:pt>
                <c:pt idx="2">
                  <c:v>деятельность по снабжению электроэнергией, газом, паром, горячей водой; кондиционирование воздуха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0.65400000000000003</c:v>
                </c:pt>
                <c:pt idx="1">
                  <c:v>0.26900000000000002</c:v>
                </c:pt>
                <c:pt idx="2">
                  <c:v>3.7999999999999999E-2</c:v>
                </c:pt>
                <c:pt idx="3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36"/>
        <c:holeSize val="51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476185710341974"/>
          <c:y val="0.61219597550306215"/>
          <c:w val="0.77092009332166811"/>
          <c:h val="0.387740966341471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потерпевших по факторам травмирования</a:t>
            </a:r>
          </a:p>
        </c:rich>
      </c:tx>
      <c:layout>
        <c:manualLayout>
          <c:xMode val="edge"/>
          <c:yMode val="edge"/>
          <c:x val="9.4089525749224148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5"/>
            <c:invertIfNegative val="0"/>
            <c:bubble3D val="0"/>
            <c:spPr>
              <a:solidFill>
                <a:srgbClr val="6633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6"/>
            <c:invertIfNegative val="0"/>
            <c:bubble3D val="0"/>
            <c:spPr>
              <a:solidFill>
                <a:srgbClr val="CC00FF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7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8"/>
            <c:invertIfNegative val="0"/>
            <c:bubble3D val="0"/>
            <c:spPr>
              <a:solidFill>
                <a:srgbClr val="D6A3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0"/>
            <c:invertIfNegative val="0"/>
            <c:bubble3D val="0"/>
            <c:spPr>
              <a:solidFill>
                <a:srgbClr val="00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Lbls>
            <c:dLbl>
              <c:idx val="0"/>
              <c:layout>
                <c:manualLayout>
                  <c:x val="1.05920982946721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592098294673728E-3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960491473360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592098294672175E-3"/>
                  <c:y val="3.9682539682540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5920982946721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1776294884015748E-3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5328884652048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545899770171703E-2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9.5328884652048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5328884652048796E-3"/>
                  <c:y val="-3.6375241165771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9.2956000826275569E-3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воздействие движущихся, разлетающихся, вращающихся предметов, деталей и тому подобное </c:v>
                </c:pt>
                <c:pt idx="1">
                  <c:v>повреждение в результате контакта с животными </c:v>
                </c:pt>
                <c:pt idx="2">
                  <c:v>отравление </c:v>
                </c:pt>
                <c:pt idx="3">
                  <c:v>падение потерпевшего во время передвижения </c:v>
                </c:pt>
                <c:pt idx="4">
                  <c:v>падение потерпевшего </c:v>
                </c:pt>
                <c:pt idx="5">
                  <c:v>падение потерпевшего с высоты </c:v>
                </c:pt>
                <c:pt idx="6">
                  <c:v>дтп</c:v>
                </c:pt>
                <c:pt idx="7">
                  <c:v>воздействие вредных веществ</c:v>
                </c:pt>
                <c:pt idx="8">
                  <c:v>прочие</c:v>
                </c:pt>
                <c:pt idx="9">
                  <c:v>пожар</c:v>
                </c:pt>
                <c:pt idx="10">
                  <c:v>воздействие экстремальных температур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275543808"/>
        <c:axId val="275545488"/>
      </c:barChart>
      <c:catAx>
        <c:axId val="275543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5545488"/>
        <c:crosses val="autoZero"/>
        <c:auto val="1"/>
        <c:lblAlgn val="ctr"/>
        <c:lblOffset val="100"/>
        <c:noMultiLvlLbl val="0"/>
      </c:catAx>
      <c:valAx>
        <c:axId val="2755454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554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1034010616631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1743627882953773E-2"/>
          <c:y val="0.25578831341586394"/>
          <c:w val="0.34596971300214563"/>
          <c:h val="0.644643169603799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Несчастные случаи с распределением по профессиям (должностям)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2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6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explosion val="11"/>
            <c:spPr>
              <a:solidFill>
                <a:srgbClr val="00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solidFill>
                <a:srgbClr val="00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9"/>
            <c:bubble3D val="0"/>
            <c:spPr>
              <a:solidFill>
                <a:srgbClr val="CC00FF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2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1.8960354905056525E-2"/>
                  <c:y val="0.126601362329708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2906602652732513E-3"/>
                  <c:y val="-4.8214937029329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93205674389199E-2"/>
                  <c:y val="-5.045931758530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007477422259322E-3"/>
                  <c:y val="-2.1587926509186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6806659416747648E-3"/>
                  <c:y val="1.851643544556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2999554775597673E-3"/>
                  <c:y val="-5.7992750906136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0429654125201127E-2"/>
                  <c:y val="-7.6127984001999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1482412797644248E-3"/>
                  <c:y val="7.55374328208973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3249240980432765E-2"/>
                  <c:y val="-3.3167729033870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4677438693605954E-3"/>
                  <c:y val="1.759780027496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9634915990095672E-3"/>
                  <c:y val="1.1150743418652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19550717431751E-2"/>
                  <c:y val="1.964132463687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7304463898673295E-3"/>
                  <c:y val="2.1843152610010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животновод</c:v>
                </c:pt>
                <c:pt idx="1">
                  <c:v>подсобный рабочий</c:v>
                </c:pt>
                <c:pt idx="2">
                  <c:v>слесарь по ремонту сельскохозяйственных машин и оборудования</c:v>
                </c:pt>
                <c:pt idx="3">
                  <c:v>инженер-механик</c:v>
                </c:pt>
                <c:pt idx="4">
                  <c:v>заведующий </c:v>
                </c:pt>
                <c:pt idx="5">
                  <c:v>слесарь по ремонту оборудования тепловых сетей</c:v>
                </c:pt>
                <c:pt idx="6">
                  <c:v>электромонтер охранной пожарной сигнализации</c:v>
                </c:pt>
                <c:pt idx="7">
                  <c:v>тракторист-машинист сельскохозяйственного производства </c:v>
                </c:pt>
                <c:pt idx="8">
                  <c:v>оператор сушильных установок</c:v>
                </c:pt>
                <c:pt idx="9">
                  <c:v>оператор машинного доения</c:v>
                </c:pt>
                <c:pt idx="10">
                  <c:v>водитель автомобиля</c:v>
                </c:pt>
                <c:pt idx="11">
                  <c:v>грузчик</c:v>
                </c:pt>
                <c:pt idx="12">
                  <c:v>кухонный рабочий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8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6134856878381625"/>
          <c:y val="0.13667334728929276"/>
          <c:w val="0.50750182156311496"/>
          <c:h val="0.86332655710270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вины по итогам расследования несчастных случаев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200"/>
      <c:depthPercent val="100"/>
      <c:rAngAx val="0"/>
      <c:perspective val="2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581697974603843E-2"/>
          <c:y val="0.2213795054065868"/>
          <c:w val="0.59813251384294763"/>
          <c:h val="0.678818482279014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вины по результатам специального расследования несчастных случаев 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explosion val="16"/>
          <c:dPt>
            <c:idx val="0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71B8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CC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1225525395745933"/>
                  <c:y val="-0.176823771180825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972424831616377E-2"/>
                  <c:y val="0.13059275653843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8301166021998329E-2"/>
                  <c:y val="-0.19930654862565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485619943430005E-2"/>
                  <c:y val="5.0001285634322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086893469830597E-2"/>
                  <c:y val="3.7441627257028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исключительно по вине нанимателя</c:v>
                </c:pt>
                <c:pt idx="1">
                  <c:v>исключительно по вине потерпевшего, в том числе его личной неосторожности</c:v>
                </c:pt>
                <c:pt idx="2">
                  <c:v>вина не усматривается </c:v>
                </c:pt>
                <c:pt idx="3">
                  <c:v>смешанная ответственность нанимателя и других работников </c:v>
                </c:pt>
                <c:pt idx="4">
                  <c:v>смешанная ответственность потерпевшего и другого работника организации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0.2</c:v>
                </c:pt>
                <c:pt idx="1">
                  <c:v>0.52</c:v>
                </c:pt>
                <c:pt idx="2">
                  <c:v>0.2</c:v>
                </c:pt>
                <c:pt idx="3">
                  <c:v>0.04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351854223700056"/>
          <c:y val="0.16471349144657596"/>
          <c:w val="0.34027777777777773"/>
          <c:h val="0.817269826953620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CB29-3C59-498B-90D1-98DBD276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14</cp:revision>
  <cp:lastPrinted>2024-12-04T14:29:00Z</cp:lastPrinted>
  <dcterms:created xsi:type="dcterms:W3CDTF">2025-01-24T07:53:00Z</dcterms:created>
  <dcterms:modified xsi:type="dcterms:W3CDTF">2025-01-31T05:53:00Z</dcterms:modified>
</cp:coreProperties>
</file>