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77" w:rsidRPr="00E533DB" w:rsidRDefault="004F3B77" w:rsidP="004F3B77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hAnsi="Times New Roman"/>
          <w:w w:val="95"/>
          <w:lang w:val="ru-RU"/>
        </w:rPr>
        <w:t>УТВЕРЖДЕНО</w:t>
      </w:r>
    </w:p>
    <w:p w:rsidR="004F3B77" w:rsidRPr="00E533DB" w:rsidRDefault="004F3B77" w:rsidP="004F3B77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F3B77" w:rsidRPr="00E533DB" w:rsidRDefault="004F3B77" w:rsidP="004F3B77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4F3B77" w:rsidRPr="00E533DB" w:rsidRDefault="004F3B77" w:rsidP="004F3B77">
      <w:pPr>
        <w:ind w:left="157" w:right="14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хозяйствования, по подпункту 16.4.1 «Регистрация договора найма</w:t>
      </w:r>
      <w:r w:rsidRPr="00E533DB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жилого помещения частного или государственного жилищного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фонда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или дополнительного соглашения </w:t>
      </w:r>
      <w:r w:rsidRPr="00E533DB">
        <w:rPr>
          <w:rFonts w:ascii="Times New Roman" w:hAnsi="Times New Roman"/>
          <w:b/>
          <w:sz w:val="24"/>
          <w:lang w:val="ru-RU"/>
        </w:rPr>
        <w:t>к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такому договору»</w:t>
      </w:r>
    </w:p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F3B77" w:rsidRDefault="004F3B77" w:rsidP="004F3B77">
      <w:pPr>
        <w:pStyle w:val="a3"/>
        <w:numPr>
          <w:ilvl w:val="0"/>
          <w:numId w:val="1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городской,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поселковый,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сельский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местная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района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в городе,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государственное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 индустриального парка «Великий камень»;</w:t>
      </w:r>
    </w:p>
    <w:p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</w:t>
      </w:r>
      <w:bookmarkStart w:id="0" w:name="_GoBack"/>
      <w:bookmarkEnd w:id="0"/>
      <w:r w:rsidRPr="00E533DB">
        <w:rPr>
          <w:lang w:val="ru-RU"/>
        </w:rPr>
        <w:t>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является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городской,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поселковый,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сельский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местная администрация района в городе);</w:t>
      </w:r>
    </w:p>
    <w:p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4F3B77" w:rsidRPr="00E533DB" w:rsidRDefault="004F3B77" w:rsidP="004F3B77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4F3B77" w:rsidRPr="00E533DB" w:rsidRDefault="004F3B77" w:rsidP="004F3B77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4F3B77" w:rsidRPr="00E533DB" w:rsidRDefault="004F3B77" w:rsidP="004F3B77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4F3B77" w:rsidRPr="00E533DB" w:rsidRDefault="004F3B77" w:rsidP="004F3B77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4F3B77" w:rsidRPr="00E533DB" w:rsidRDefault="004F3B77" w:rsidP="004F3B77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4F3B77" w:rsidRPr="00E533DB" w:rsidRDefault="004F3B77" w:rsidP="004F3B77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4F3B77" w:rsidRPr="00E533DB" w:rsidRDefault="004F3B77" w:rsidP="004F3B77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2008 г.</w:t>
      </w:r>
    </w:p>
    <w:p w:rsidR="004F3B77" w:rsidRPr="00E533DB" w:rsidRDefault="004F3B77" w:rsidP="004F3B77">
      <w:pPr>
        <w:pStyle w:val="a3"/>
        <w:ind w:left="724" w:hanging="568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1408 «О специальных жилых помещениях государственного жилищного</w:t>
      </w:r>
      <w:r w:rsidRPr="00E533DB">
        <w:rPr>
          <w:lang w:val="ru-RU"/>
        </w:rPr>
        <w:t xml:space="preserve"> фонда»;</w:t>
      </w:r>
      <w:r w:rsidRPr="00E533DB">
        <w:rPr>
          <w:spacing w:val="23"/>
          <w:lang w:val="ru-RU"/>
        </w:rPr>
        <w:t xml:space="preserve"> </w:t>
      </w:r>
      <w:r w:rsidRPr="00E533DB">
        <w:rPr>
          <w:lang w:val="ru-RU"/>
        </w:rPr>
        <w:t>постановление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Министров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от 19 марта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2013 г.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№ 193</w:t>
      </w:r>
    </w:p>
    <w:p w:rsidR="004F3B77" w:rsidRPr="00E533DB" w:rsidRDefault="004F3B77" w:rsidP="004F3B77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утверждении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типового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договора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найма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жилого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помещения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социального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пользования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государственного жилищного фонда»;</w:t>
      </w:r>
    </w:p>
    <w:p w:rsidR="004F3B77" w:rsidRPr="00E533DB" w:rsidRDefault="004F3B77" w:rsidP="004F3B77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>постановление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Министров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от 5 апреля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2013 г.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№ 269</w:t>
      </w:r>
    </w:p>
    <w:p w:rsidR="004F3B77" w:rsidRPr="00E533DB" w:rsidRDefault="004F3B77" w:rsidP="004F3B77">
      <w:pPr>
        <w:pStyle w:val="a3"/>
        <w:ind w:right="149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утверждении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Положения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об</w:t>
      </w:r>
      <w:r w:rsidRPr="00E533DB">
        <w:rPr>
          <w:spacing w:val="-1"/>
          <w:lang w:val="ru-RU"/>
        </w:rPr>
        <w:t xml:space="preserve"> общежитиях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типового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договора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найма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жилого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помещения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государственного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жилищного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фонда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общежитии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признании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утратившими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силу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некоторых постановлений Совета Министров Республики Беларусь»;</w:t>
      </w:r>
    </w:p>
    <w:p w:rsidR="004F3B77" w:rsidRPr="00E533DB" w:rsidRDefault="004F3B77" w:rsidP="004F3B77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 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lang w:val="ru-RU"/>
        </w:rPr>
        <w:t xml:space="preserve">  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 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 xml:space="preserve">Беларусь  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 xml:space="preserve">от 31 </w:t>
      </w:r>
      <w:r w:rsidRPr="00E533DB">
        <w:rPr>
          <w:spacing w:val="-1"/>
          <w:lang w:val="ru-RU"/>
        </w:rPr>
        <w:t>декабря</w:t>
      </w:r>
      <w:r w:rsidRPr="00E533DB">
        <w:rPr>
          <w:lang w:val="ru-RU"/>
        </w:rPr>
        <w:t xml:space="preserve">  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2014 г.</w:t>
      </w:r>
    </w:p>
    <w:p w:rsidR="004F3B77" w:rsidRPr="00E533DB" w:rsidRDefault="004F3B77" w:rsidP="004F3B77">
      <w:pPr>
        <w:pStyle w:val="a3"/>
        <w:ind w:firstLine="0"/>
        <w:jc w:val="both"/>
        <w:rPr>
          <w:lang w:val="ru-RU"/>
        </w:rPr>
      </w:pPr>
      <w:r w:rsidRPr="00E533DB">
        <w:rPr>
          <w:lang w:val="ru-RU"/>
        </w:rPr>
        <w:t>№ 1297 «О предоставлении арендного жилья»;</w:t>
      </w:r>
    </w:p>
    <w:p w:rsidR="004F3B77" w:rsidRPr="00E533DB" w:rsidRDefault="004F3B77" w:rsidP="004F3B77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4F3B77" w:rsidRPr="00E533DB" w:rsidRDefault="004F3B77" w:rsidP="004F3B77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4F3B77" w:rsidRPr="00E533DB" w:rsidRDefault="004F3B77" w:rsidP="004F3B77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4F3B77" w:rsidRPr="00E533DB" w:rsidRDefault="004F3B77" w:rsidP="004F3B77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4F3B77" w:rsidRPr="00E533DB" w:rsidRDefault="004F3B77" w:rsidP="004F3B77">
      <w:pPr>
        <w:pStyle w:val="a3"/>
        <w:numPr>
          <w:ilvl w:val="0"/>
          <w:numId w:val="1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lastRenderedPageBreak/>
        <w:t>процедуры:</w:t>
      </w:r>
    </w:p>
    <w:p w:rsidR="004F3B77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5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2413"/>
        <w:gridCol w:w="4694"/>
        <w:gridCol w:w="3244"/>
      </w:tblGrid>
      <w:tr w:rsidR="004F3B77" w:rsidRPr="004F3B77" w:rsidTr="00EE2071">
        <w:trPr>
          <w:trHeight w:hRule="exact" w:val="701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left="210" w:right="2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left="1893" w:right="250" w:hanging="16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Требования, предъявляемые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left="242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представления документа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4F3B77" w:rsidRPr="004F3B77" w:rsidTr="00EE2071">
        <w:trPr>
          <w:trHeight w:hRule="exact" w:val="70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8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 требованиям части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пункта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5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статьи 14 Закона Республики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4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поселковый,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сельский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местную администрацию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4F3B77" w:rsidRPr="00E533DB" w:rsidRDefault="004F3B77" w:rsidP="004F3B77">
            <w:pPr>
              <w:pStyle w:val="TableParagraph"/>
              <w:ind w:right="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:rsidR="004F3B77" w:rsidRPr="00E533DB" w:rsidRDefault="004F3B77" w:rsidP="004F3B77">
            <w:pPr>
              <w:pStyle w:val="TableParagraph"/>
              <w:ind w:right="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4F3B77" w:rsidRPr="00E533DB" w:rsidRDefault="004F3B77" w:rsidP="004F3B77">
            <w:pPr>
              <w:pStyle w:val="TableParagraph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4F3B77" w:rsidRPr="00E533DB" w:rsidRDefault="004F3B77" w:rsidP="004F3B77">
            <w:pPr>
              <w:pStyle w:val="TableParagraph"/>
              <w:ind w:right="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:rsidR="004F3B77" w:rsidRPr="00E533DB" w:rsidRDefault="004F3B77" w:rsidP="004F3B77">
            <w:pPr>
              <w:pStyle w:val="TableParagraph"/>
              <w:ind w:right="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ind w:right="2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4F3B77" w:rsidRPr="004F3B77" w:rsidTr="00EE2071">
        <w:trPr>
          <w:trHeight w:hRule="exact" w:val="234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экземпляра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найма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дополнительного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нему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9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 формам,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установленным:</w:t>
            </w:r>
          </w:p>
          <w:p w:rsidR="004F3B77" w:rsidRPr="00E533DB" w:rsidRDefault="004F3B77" w:rsidP="004F3B77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E533D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24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сентября 2008 г.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1408;</w:t>
            </w:r>
            <w:r w:rsidRPr="00E533DB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E533D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19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марта 2013 г.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193;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E533D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апреля 2013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г.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269;</w:t>
            </w:r>
            <w:r w:rsidRPr="00E533DB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E533DB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31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декабря 2014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г.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1297</w:t>
            </w: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jc w:val="both"/>
              <w:rPr>
                <w:lang w:val="ru-RU"/>
              </w:rPr>
            </w:pPr>
          </w:p>
        </w:tc>
      </w:tr>
      <w:tr w:rsidR="004F3B77" w:rsidTr="00EE2071">
        <w:trPr>
          <w:trHeight w:hRule="exact" w:val="28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технический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jc w:val="both"/>
            </w:pP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jc w:val="both"/>
            </w:pPr>
          </w:p>
        </w:tc>
      </w:tr>
      <w:tr w:rsidR="004F3B77" w:rsidRPr="004F3B77" w:rsidTr="00EE2071">
        <w:trPr>
          <w:trHeight w:hRule="exact" w:val="372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справка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балансовой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принадлежности</w:t>
            </w:r>
          </w:p>
          <w:p w:rsidR="004F3B77" w:rsidRPr="00E533DB" w:rsidRDefault="004F3B77" w:rsidP="004F3B77">
            <w:pPr>
              <w:pStyle w:val="TableParagraph"/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стоимости жилого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7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подписывается руководителем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главным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бухгалтером (бухгалтером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иным лицом,</w:t>
            </w:r>
          </w:p>
          <w:p w:rsidR="004F3B77" w:rsidRPr="00E533DB" w:rsidRDefault="004F3B77" w:rsidP="004F3B77">
            <w:pPr>
              <w:pStyle w:val="TableParagraph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осуществляющим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законодательством</w:t>
            </w:r>
            <w:r w:rsidRPr="00E533DB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ведение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бухгалтерского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учета) юридического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лица,</w:t>
            </w:r>
          </w:p>
          <w:p w:rsidR="004F3B77" w:rsidRPr="00E533DB" w:rsidRDefault="004F3B77" w:rsidP="004F3B77">
            <w:pPr>
              <w:pStyle w:val="TableParagraph"/>
              <w:ind w:right="3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 балансе которого находится жилое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помещение,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содержащая информацию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составных элементах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принадлежностях, доле</w:t>
            </w: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праве на жилое помещение, находящейся</w:t>
            </w:r>
          </w:p>
          <w:p w:rsidR="004F3B77" w:rsidRPr="00E533DB" w:rsidRDefault="004F3B77" w:rsidP="004F3B77">
            <w:pPr>
              <w:pStyle w:val="TableParagraph"/>
              <w:ind w:right="2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государственной собственности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(если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жилое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помещение находится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долевой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собственности),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 w:rsidRPr="00E533DB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если создание жилого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жилищного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фонда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(или) возникновение права</w:t>
            </w:r>
          </w:p>
          <w:p w:rsidR="004F3B77" w:rsidRPr="00E533DB" w:rsidRDefault="004F3B77" w:rsidP="004F3B77">
            <w:pPr>
              <w:pStyle w:val="TableParagraph"/>
              <w:ind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 зарегистрированы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едином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государственном регистре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 на него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jc w:val="both"/>
              <w:rPr>
                <w:lang w:val="ru-RU"/>
              </w:rPr>
            </w:pPr>
          </w:p>
        </w:tc>
      </w:tr>
      <w:tr w:rsidR="004F3B77" w:rsidRPr="004F3B77" w:rsidTr="00EE2071">
        <w:trPr>
          <w:trHeight w:hRule="exact" w:val="119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письменное согласие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всех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собственников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находящегося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jc w:val="both"/>
              <w:rPr>
                <w:lang w:val="ru-RU"/>
              </w:rPr>
            </w:pPr>
          </w:p>
        </w:tc>
        <w:tc>
          <w:tcPr>
            <w:tcW w:w="3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jc w:val="both"/>
              <w:rPr>
                <w:lang w:val="ru-RU"/>
              </w:rPr>
            </w:pPr>
          </w:p>
        </w:tc>
      </w:tr>
    </w:tbl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Pr="00E533DB" w:rsidRDefault="004F3B77" w:rsidP="004F3B77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5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5106"/>
        <w:gridCol w:w="5245"/>
      </w:tblGrid>
      <w:tr w:rsidR="004F3B77" w:rsidRPr="004F3B77" w:rsidTr="00EE2071">
        <w:trPr>
          <w:trHeight w:hRule="exact" w:val="208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ind w:left="4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left="26" w:right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 (получаются)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 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</w:t>
            </w:r>
            <w:r w:rsidRPr="00E533D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4F3B77" w:rsidRPr="004F3B77" w:rsidTr="00EE2071">
        <w:trPr>
          <w:trHeight w:hRule="exact" w:val="70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информации правах, ограничениях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объект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left="-1" w:right="5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F3B77" w:rsidRPr="00E533DB" w:rsidRDefault="004F3B77" w:rsidP="004F3B77">
      <w:pPr>
        <w:pStyle w:val="a3"/>
        <w:numPr>
          <w:ilvl w:val="0"/>
          <w:numId w:val="1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lastRenderedPageBreak/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807"/>
        <w:gridCol w:w="1421"/>
        <w:gridCol w:w="1984"/>
      </w:tblGrid>
      <w:tr w:rsidR="004F3B77" w:rsidTr="00EE2071">
        <w:trPr>
          <w:trHeight w:hRule="exact" w:val="251"/>
        </w:trPr>
        <w:tc>
          <w:tcPr>
            <w:tcW w:w="6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4F3B77" w:rsidTr="00EE2071">
        <w:trPr>
          <w:trHeight w:hRule="exact" w:val="700"/>
        </w:trPr>
        <w:tc>
          <w:tcPr>
            <w:tcW w:w="6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найма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частного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фонда или дополнительное соглашение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такому</w:t>
            </w:r>
            <w:r w:rsidRPr="00E533DB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договору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отметкой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 регистрации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4F3B77" w:rsidRPr="00E533DB" w:rsidRDefault="004F3B77" w:rsidP="004F3B77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4F3B77" w:rsidRPr="00E533DB" w:rsidRDefault="004F3B77" w:rsidP="004F3B77">
      <w:pPr>
        <w:pStyle w:val="a3"/>
        <w:numPr>
          <w:ilvl w:val="0"/>
          <w:numId w:val="1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16"/>
        <w:gridCol w:w="2694"/>
      </w:tblGrid>
      <w:tr w:rsidR="004F3B77" w:rsidRPr="004F3B77" w:rsidTr="00EE2071">
        <w:trPr>
          <w:trHeight w:hRule="exact" w:val="93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F3B77" w:rsidRPr="00E533DB" w:rsidRDefault="004F3B77" w:rsidP="004F3B77">
            <w:pPr>
              <w:pStyle w:val="TableParagraph"/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4F3B77" w:rsidTr="00EE2071">
        <w:trPr>
          <w:trHeight w:hRule="exact" w:val="185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Pr="00E533DB" w:rsidRDefault="004F3B77" w:rsidP="004F3B77">
            <w:pPr>
              <w:pStyle w:val="TableParagraph"/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4F3B77" w:rsidRPr="00E533DB" w:rsidRDefault="004F3B77" w:rsidP="004F3B77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комитетом,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поселковым,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сельским исполнительным комитетом;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394862" w:rsidRDefault="00394862" w:rsidP="004F3B77"/>
    <w:sectPr w:rsidR="00394862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394862"/>
    <w:rsid w:val="004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1</cp:revision>
  <dcterms:created xsi:type="dcterms:W3CDTF">2022-07-15T08:15:00Z</dcterms:created>
  <dcterms:modified xsi:type="dcterms:W3CDTF">2022-07-15T08:17:00Z</dcterms:modified>
</cp:coreProperties>
</file>